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8C2" w:rsidRPr="00FC1500" w:rsidRDefault="001A78C2" w:rsidP="001A78C2">
      <w:pPr>
        <w:pageBreakBefore/>
        <w:numPr>
          <w:ilvl w:val="0"/>
          <w:numId w:val="3"/>
        </w:numPr>
        <w:tabs>
          <w:tab w:val="clear" w:pos="567"/>
          <w:tab w:val="num" w:pos="720"/>
        </w:tabs>
        <w:ind w:left="0" w:firstLine="0"/>
        <w:jc w:val="both"/>
        <w:rPr>
          <w:rFonts w:ascii="Arial" w:hAnsi="Arial" w:cs="Arial"/>
          <w:sz w:val="32"/>
          <w:szCs w:val="32"/>
        </w:rPr>
      </w:pPr>
      <w:r w:rsidRPr="00FC1500">
        <w:rPr>
          <w:rFonts w:ascii="Arial" w:hAnsi="Arial" w:cs="Arial"/>
          <w:b/>
          <w:bCs/>
          <w:sz w:val="32"/>
          <w:szCs w:val="28"/>
        </w:rPr>
        <w:t>Základní metodické přístupy</w:t>
      </w:r>
      <w:bookmarkStart w:id="0" w:name="_GoBack"/>
      <w:bookmarkEnd w:id="0"/>
    </w:p>
    <w:p w:rsidR="001A78C2" w:rsidRPr="00FC1500" w:rsidRDefault="001A78C2" w:rsidP="00F224F8">
      <w:pPr>
        <w:spacing w:before="720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sz w:val="20"/>
          <w:szCs w:val="32"/>
        </w:rPr>
        <w:t xml:space="preserve">Od roku 2002 je </w:t>
      </w:r>
      <w:r w:rsidRPr="00FC1500">
        <w:rPr>
          <w:rFonts w:ascii="Arial" w:hAnsi="Arial" w:cs="Arial"/>
          <w:b/>
          <w:bCs/>
          <w:sz w:val="20"/>
          <w:szCs w:val="32"/>
        </w:rPr>
        <w:t>dotazník VŠPS</w:t>
      </w:r>
      <w:r w:rsidRPr="00FC1500">
        <w:rPr>
          <w:rFonts w:ascii="Arial" w:hAnsi="Arial" w:cs="Arial"/>
          <w:sz w:val="20"/>
          <w:szCs w:val="32"/>
        </w:rPr>
        <w:t xml:space="preserve"> plně harmonizován se standardem </w:t>
      </w:r>
      <w:proofErr w:type="spellStart"/>
      <w:r w:rsidRPr="00FC1500">
        <w:rPr>
          <w:rFonts w:ascii="Arial" w:hAnsi="Arial" w:cs="Arial"/>
          <w:sz w:val="20"/>
          <w:szCs w:val="32"/>
        </w:rPr>
        <w:t>Eurostatu</w:t>
      </w:r>
      <w:proofErr w:type="spellEnd"/>
      <w:r w:rsidR="000E34A3" w:rsidRPr="00FC1500">
        <w:rPr>
          <w:rFonts w:ascii="Arial" w:hAnsi="Arial" w:cs="Arial"/>
          <w:sz w:val="20"/>
          <w:szCs w:val="32"/>
        </w:rPr>
        <w:t>.</w:t>
      </w:r>
      <w:r w:rsidRPr="00FC1500">
        <w:rPr>
          <w:rFonts w:ascii="Arial" w:hAnsi="Arial" w:cs="Arial"/>
          <w:sz w:val="20"/>
          <w:szCs w:val="32"/>
        </w:rPr>
        <w:t xml:space="preserve"> </w:t>
      </w:r>
      <w:r w:rsidR="000E34A3" w:rsidRPr="00FC1500">
        <w:rPr>
          <w:rFonts w:ascii="Arial" w:hAnsi="Arial" w:cs="Arial"/>
          <w:sz w:val="20"/>
          <w:szCs w:val="32"/>
        </w:rPr>
        <w:t xml:space="preserve">Obsah standardu </w:t>
      </w:r>
      <w:proofErr w:type="spellStart"/>
      <w:r w:rsidR="000E34A3" w:rsidRPr="00FC1500">
        <w:rPr>
          <w:rFonts w:ascii="Arial" w:hAnsi="Arial" w:cs="Arial"/>
          <w:sz w:val="20"/>
          <w:szCs w:val="32"/>
        </w:rPr>
        <w:t>Eurostatu</w:t>
      </w:r>
      <w:proofErr w:type="spellEnd"/>
      <w:r w:rsidR="000E34A3" w:rsidRPr="00FC1500">
        <w:rPr>
          <w:rFonts w:ascii="Arial" w:hAnsi="Arial" w:cs="Arial"/>
          <w:sz w:val="20"/>
          <w:szCs w:val="32"/>
        </w:rPr>
        <w:t xml:space="preserve"> se stále vyvíjí a v této souvislosti ČSÚ provádí příslušné změny v národním dotazníku VŠPS v souladu s </w:t>
      </w:r>
      <w:r w:rsidR="000E34A3" w:rsidRPr="00FC1500">
        <w:rPr>
          <w:rFonts w:ascii="Arial" w:hAnsi="Arial" w:cs="Arial"/>
          <w:sz w:val="20"/>
          <w:szCs w:val="20"/>
        </w:rPr>
        <w:t>nařízeními Evropského parlamentu a Rady (EU).</w:t>
      </w:r>
      <w:r w:rsidR="000E34A3" w:rsidRPr="00FC1500">
        <w:rPr>
          <w:rFonts w:ascii="Arial" w:hAnsi="Arial" w:cs="Arial"/>
          <w:sz w:val="20"/>
          <w:szCs w:val="32"/>
        </w:rPr>
        <w:t xml:space="preserve"> F</w:t>
      </w:r>
      <w:r w:rsidRPr="00FC1500">
        <w:rPr>
          <w:rFonts w:ascii="Arial" w:hAnsi="Arial" w:cs="Arial"/>
          <w:sz w:val="20"/>
          <w:szCs w:val="32"/>
        </w:rPr>
        <w:t>ormální struktura čtvrtletní</w:t>
      </w:r>
      <w:r w:rsidR="007F06C0" w:rsidRPr="00FC1500">
        <w:rPr>
          <w:rFonts w:ascii="Arial" w:hAnsi="Arial" w:cs="Arial"/>
          <w:sz w:val="20"/>
          <w:szCs w:val="32"/>
        </w:rPr>
        <w:t xml:space="preserve"> a</w:t>
      </w:r>
      <w:r w:rsidR="009552A2">
        <w:rPr>
          <w:rFonts w:ascii="Arial" w:hAnsi="Arial" w:cs="Arial"/>
          <w:sz w:val="20"/>
          <w:szCs w:val="32"/>
        </w:rPr>
        <w:t> </w:t>
      </w:r>
      <w:r w:rsidR="007F06C0" w:rsidRPr="00FC1500">
        <w:rPr>
          <w:rFonts w:ascii="Arial" w:hAnsi="Arial" w:cs="Arial"/>
          <w:sz w:val="20"/>
          <w:szCs w:val="32"/>
        </w:rPr>
        <w:t>roční</w:t>
      </w:r>
      <w:r w:rsidRPr="00FC1500">
        <w:rPr>
          <w:rFonts w:ascii="Arial" w:hAnsi="Arial" w:cs="Arial"/>
          <w:sz w:val="20"/>
          <w:szCs w:val="32"/>
        </w:rPr>
        <w:t xml:space="preserve"> publikace však zůstávají</w:t>
      </w:r>
      <w:r w:rsidR="000E34A3" w:rsidRPr="00FC1500">
        <w:rPr>
          <w:rFonts w:ascii="Arial" w:hAnsi="Arial" w:cs="Arial"/>
          <w:sz w:val="20"/>
          <w:szCs w:val="32"/>
        </w:rPr>
        <w:t xml:space="preserve"> </w:t>
      </w:r>
      <w:r w:rsidRPr="00FC1500">
        <w:rPr>
          <w:rFonts w:ascii="Arial" w:hAnsi="Arial" w:cs="Arial"/>
          <w:sz w:val="20"/>
          <w:szCs w:val="32"/>
        </w:rPr>
        <w:t xml:space="preserve">zachovány a umožňují tak čtenáři dobrou orientaci ve vazbě na publikace za předcházející období. Zároveň je zajištěna kontinuita a konzistence statistických dat v potřebné časové posloupnosti. </w:t>
      </w:r>
    </w:p>
    <w:p w:rsidR="001A78C2" w:rsidRPr="00FC1500" w:rsidRDefault="001A78C2" w:rsidP="00F224F8">
      <w:pPr>
        <w:spacing w:before="200"/>
        <w:jc w:val="both"/>
        <w:rPr>
          <w:rFonts w:ascii="Arial" w:hAnsi="Arial" w:cs="Arial"/>
          <w:sz w:val="20"/>
        </w:rPr>
      </w:pPr>
      <w:r w:rsidRPr="00FC1500">
        <w:rPr>
          <w:rFonts w:ascii="Arial" w:hAnsi="Arial" w:cs="Arial"/>
          <w:sz w:val="20"/>
        </w:rPr>
        <w:t>Počínaje 1. lednem 2000 vstoupilo v platnost na základě ústavního zákona č. 347/97 Sb. územní uspořádání České republiky, podle nějž je ČR dělena na </w:t>
      </w:r>
      <w:r w:rsidRPr="00FC1500">
        <w:rPr>
          <w:rFonts w:ascii="Arial" w:hAnsi="Arial" w:cs="Arial"/>
          <w:b/>
          <w:bCs/>
          <w:sz w:val="20"/>
        </w:rPr>
        <w:t>14 krajů</w:t>
      </w:r>
      <w:r w:rsidRPr="00FC1500">
        <w:rPr>
          <w:rFonts w:ascii="Arial" w:hAnsi="Arial" w:cs="Arial"/>
          <w:sz w:val="20"/>
        </w:rPr>
        <w:t xml:space="preserve"> - vyšších územních samosprávných celků (VÚSC). V návaznosti na toto administrativní uspořádání bylo pro potřeby statistické, analytické a</w:t>
      </w:r>
      <w:r w:rsidR="00AD7CC7">
        <w:rPr>
          <w:rFonts w:ascii="Arial" w:hAnsi="Arial" w:cs="Arial"/>
          <w:sz w:val="20"/>
        </w:rPr>
        <w:t> </w:t>
      </w:r>
      <w:r w:rsidRPr="00FC1500">
        <w:rPr>
          <w:rFonts w:ascii="Arial" w:hAnsi="Arial" w:cs="Arial"/>
          <w:sz w:val="20"/>
        </w:rPr>
        <w:t>pro potřeby Evropské unie, v souladu s Usnesením vlády České republiky č. 707/1998, provedeno vymezení osmi statistických územních jednotek (</w:t>
      </w:r>
      <w:r w:rsidR="00C0158D" w:rsidRPr="00FC1500">
        <w:rPr>
          <w:rFonts w:ascii="Arial" w:hAnsi="Arial" w:cs="Arial"/>
          <w:b/>
          <w:bCs/>
          <w:sz w:val="20"/>
        </w:rPr>
        <w:t>regionů soudržnosti</w:t>
      </w:r>
      <w:r w:rsidRPr="00FC1500">
        <w:rPr>
          <w:rFonts w:ascii="Arial" w:hAnsi="Arial" w:cs="Arial"/>
          <w:sz w:val="20"/>
        </w:rPr>
        <w:t xml:space="preserve">) na území ČR. Územní uspořádání České republiky respektuje systém vymezení NUTS (La </w:t>
      </w:r>
      <w:proofErr w:type="spellStart"/>
      <w:r w:rsidRPr="00FC1500">
        <w:rPr>
          <w:rFonts w:ascii="Arial" w:hAnsi="Arial" w:cs="Arial"/>
          <w:sz w:val="20"/>
        </w:rPr>
        <w:t>Nomenclature</w:t>
      </w:r>
      <w:proofErr w:type="spellEnd"/>
      <w:r w:rsidRPr="00FC1500">
        <w:rPr>
          <w:rFonts w:ascii="Arial" w:hAnsi="Arial" w:cs="Arial"/>
          <w:sz w:val="20"/>
        </w:rPr>
        <w:t xml:space="preserve"> des </w:t>
      </w:r>
      <w:proofErr w:type="spellStart"/>
      <w:r w:rsidRPr="00FC1500">
        <w:rPr>
          <w:rFonts w:ascii="Arial" w:hAnsi="Arial" w:cs="Arial"/>
          <w:sz w:val="20"/>
        </w:rPr>
        <w:t>Unités</w:t>
      </w:r>
      <w:proofErr w:type="spellEnd"/>
      <w:r w:rsidRPr="00FC1500">
        <w:rPr>
          <w:rFonts w:ascii="Arial" w:hAnsi="Arial" w:cs="Arial"/>
          <w:sz w:val="20"/>
        </w:rPr>
        <w:t xml:space="preserve"> </w:t>
      </w:r>
      <w:proofErr w:type="spellStart"/>
      <w:r w:rsidRPr="00FC1500">
        <w:rPr>
          <w:rFonts w:ascii="Arial" w:hAnsi="Arial" w:cs="Arial"/>
          <w:sz w:val="20"/>
        </w:rPr>
        <w:t>Territoriales</w:t>
      </w:r>
      <w:proofErr w:type="spellEnd"/>
      <w:r w:rsidRPr="00FC1500">
        <w:rPr>
          <w:rFonts w:ascii="Arial" w:hAnsi="Arial" w:cs="Arial"/>
          <w:sz w:val="20"/>
        </w:rPr>
        <w:t xml:space="preserve"> </w:t>
      </w:r>
      <w:proofErr w:type="spellStart"/>
      <w:r w:rsidRPr="00FC1500">
        <w:rPr>
          <w:rFonts w:ascii="Arial" w:hAnsi="Arial" w:cs="Arial"/>
          <w:sz w:val="20"/>
        </w:rPr>
        <w:t>Statistiques</w:t>
      </w:r>
      <w:proofErr w:type="spellEnd"/>
      <w:r w:rsidRPr="00FC1500">
        <w:rPr>
          <w:rFonts w:ascii="Arial" w:hAnsi="Arial" w:cs="Arial"/>
          <w:sz w:val="20"/>
        </w:rPr>
        <w:t xml:space="preserve">) v zemích EU. S ohledem na uvedenou změnu byla </w:t>
      </w:r>
      <w:r w:rsidRPr="00FC1500">
        <w:rPr>
          <w:rFonts w:ascii="Arial" w:hAnsi="Arial"/>
          <w:sz w:val="20"/>
        </w:rPr>
        <w:t>z výsledků VŠPS vytvořena i tato publikace</w:t>
      </w:r>
      <w:r w:rsidRPr="00FC1500">
        <w:rPr>
          <w:rFonts w:ascii="Arial" w:hAnsi="Arial" w:cs="Arial"/>
          <w:sz w:val="20"/>
        </w:rPr>
        <w:t xml:space="preserve">, která obsahuje pohledy na trh práce na všech základních úrovních, tj. NUTS 1 - Česká republika, NUTS 2 - </w:t>
      </w:r>
      <w:r w:rsidR="00C0158D" w:rsidRPr="00FC1500">
        <w:rPr>
          <w:rFonts w:ascii="Arial" w:hAnsi="Arial" w:cs="Arial"/>
          <w:sz w:val="20"/>
        </w:rPr>
        <w:t>regiony soudržnosti</w:t>
      </w:r>
      <w:r w:rsidRPr="00FC1500">
        <w:rPr>
          <w:rFonts w:ascii="Arial" w:hAnsi="Arial" w:cs="Arial"/>
          <w:sz w:val="20"/>
        </w:rPr>
        <w:t xml:space="preserve"> a NUTS 3 - kraje (VÚSC).</w:t>
      </w:r>
    </w:p>
    <w:p w:rsidR="001A78C2" w:rsidRPr="00FC1500" w:rsidRDefault="001A78C2">
      <w:pPr>
        <w:spacing w:before="200"/>
        <w:jc w:val="both"/>
        <w:rPr>
          <w:rFonts w:ascii="Arial" w:hAnsi="Arial" w:cs="Arial"/>
          <w:sz w:val="20"/>
          <w:szCs w:val="32"/>
        </w:rPr>
      </w:pPr>
      <w:r w:rsidRPr="00FC1500">
        <w:rPr>
          <w:rFonts w:ascii="Arial" w:hAnsi="Arial" w:cs="Arial"/>
          <w:b/>
          <w:bCs/>
          <w:sz w:val="20"/>
          <w:szCs w:val="32"/>
        </w:rPr>
        <w:t>Předmětem šetření</w:t>
      </w:r>
      <w:r w:rsidRPr="00FC1500">
        <w:rPr>
          <w:rFonts w:ascii="Arial" w:hAnsi="Arial" w:cs="Arial"/>
          <w:sz w:val="20"/>
          <w:szCs w:val="32"/>
        </w:rPr>
        <w:t xml:space="preserve"> ve VŠPS jsou </w:t>
      </w:r>
      <w:r w:rsidRPr="007760DE">
        <w:rPr>
          <w:rFonts w:ascii="Arial" w:hAnsi="Arial" w:cs="Arial"/>
          <w:b/>
          <w:sz w:val="20"/>
          <w:szCs w:val="32"/>
        </w:rPr>
        <w:t xml:space="preserve">všechny osoby obvykle </w:t>
      </w:r>
      <w:r w:rsidRPr="003E23F5">
        <w:rPr>
          <w:rFonts w:ascii="Arial" w:hAnsi="Arial" w:cs="Arial"/>
          <w:b/>
          <w:sz w:val="20"/>
          <w:szCs w:val="32"/>
        </w:rPr>
        <w:t>bydlící</w:t>
      </w:r>
      <w:r w:rsidRPr="00A94462">
        <w:rPr>
          <w:rFonts w:ascii="Arial" w:hAnsi="Arial" w:cs="Arial"/>
          <w:b/>
          <w:sz w:val="20"/>
          <w:szCs w:val="32"/>
        </w:rPr>
        <w:t xml:space="preserve"> v</w:t>
      </w:r>
      <w:r w:rsidR="003E23F5" w:rsidRPr="00A94462">
        <w:rPr>
          <w:rFonts w:ascii="Arial" w:hAnsi="Arial" w:cs="Arial"/>
          <w:b/>
          <w:sz w:val="20"/>
          <w:szCs w:val="32"/>
        </w:rPr>
        <w:t xml:space="preserve"> náhodně</w:t>
      </w:r>
      <w:r w:rsidRPr="00A94462">
        <w:rPr>
          <w:rFonts w:ascii="Arial" w:hAnsi="Arial" w:cs="Arial"/>
          <w:b/>
          <w:sz w:val="20"/>
          <w:szCs w:val="32"/>
        </w:rPr>
        <w:t> vybraném bytě</w:t>
      </w:r>
      <w:r w:rsidRPr="00FC1500">
        <w:rPr>
          <w:rFonts w:ascii="Arial" w:hAnsi="Arial" w:cs="Arial"/>
          <w:sz w:val="20"/>
          <w:szCs w:val="32"/>
        </w:rPr>
        <w:t>, přičemž není rozhodující a není ani sledováno, mají-li zde pobyt trvalý, přechodný, dlouhodobý nebo nehlášený. U osob mladších než 15 let se sledují jen základní údaje týkající se vztahu k </w:t>
      </w:r>
      <w:r w:rsidR="00D30F1E">
        <w:rPr>
          <w:rFonts w:ascii="Arial" w:hAnsi="Arial" w:cs="Arial"/>
          <w:sz w:val="20"/>
          <w:szCs w:val="32"/>
        </w:rPr>
        <w:t>referenční osobě starší 15 let</w:t>
      </w:r>
      <w:r w:rsidRPr="00FC1500">
        <w:rPr>
          <w:rFonts w:ascii="Arial" w:hAnsi="Arial" w:cs="Arial"/>
          <w:sz w:val="20"/>
          <w:szCs w:val="32"/>
        </w:rPr>
        <w:t xml:space="preserve">, věku, pohlaví, národnosti a státní příslušnosti. Za osoby starší 15 let se vyplňují další otázky, které popisují jejich uplatnění na trhu práce. </w:t>
      </w:r>
      <w:r w:rsidRPr="00A56876">
        <w:rPr>
          <w:rFonts w:ascii="Arial" w:hAnsi="Arial" w:cs="Arial"/>
          <w:b/>
          <w:sz w:val="20"/>
          <w:szCs w:val="32"/>
        </w:rPr>
        <w:t>Šetření se nevztahuje na osoby bydlící dlouhodobě v hromadných ubytovacích zařízeních</w:t>
      </w:r>
      <w:r w:rsidRPr="00FC1500">
        <w:rPr>
          <w:rFonts w:ascii="Arial" w:hAnsi="Arial" w:cs="Arial"/>
          <w:sz w:val="20"/>
          <w:szCs w:val="32"/>
        </w:rPr>
        <w:t xml:space="preserve">. Z toho důvodu jsou údaje za určité skupiny obyvatelstva, zejména za cizí státní příslušníky žijící a pracující na území republiky, k dispozici v omezené míře. Podle doporučení </w:t>
      </w:r>
      <w:proofErr w:type="spellStart"/>
      <w:r w:rsidRPr="00FC1500">
        <w:rPr>
          <w:rFonts w:ascii="Arial" w:hAnsi="Arial" w:cs="Arial"/>
          <w:sz w:val="20"/>
          <w:szCs w:val="32"/>
        </w:rPr>
        <w:t>Eurostatu</w:t>
      </w:r>
      <w:proofErr w:type="spellEnd"/>
      <w:r w:rsidRPr="00FC1500">
        <w:rPr>
          <w:rFonts w:ascii="Arial" w:hAnsi="Arial" w:cs="Arial"/>
          <w:sz w:val="20"/>
          <w:szCs w:val="32"/>
        </w:rPr>
        <w:t xml:space="preserve"> lze údaje za tyto osoby získat buď z administrativních </w:t>
      </w:r>
      <w:proofErr w:type="gramStart"/>
      <w:r w:rsidRPr="00FC1500">
        <w:rPr>
          <w:rFonts w:ascii="Arial" w:hAnsi="Arial" w:cs="Arial"/>
          <w:sz w:val="20"/>
          <w:szCs w:val="32"/>
        </w:rPr>
        <w:t>zdrojů nebo</w:t>
      </w:r>
      <w:proofErr w:type="gramEnd"/>
      <w:r w:rsidRPr="00FC1500">
        <w:rPr>
          <w:rFonts w:ascii="Arial" w:hAnsi="Arial" w:cs="Arial"/>
          <w:sz w:val="20"/>
          <w:szCs w:val="32"/>
        </w:rPr>
        <w:t xml:space="preserve"> zvláštním šetřením organizovaným zásadně mimo rámec VŠPS.</w:t>
      </w:r>
    </w:p>
    <w:p w:rsidR="001A78C2" w:rsidRPr="00250C72" w:rsidRDefault="001A78C2">
      <w:pPr>
        <w:spacing w:before="200"/>
        <w:jc w:val="both"/>
        <w:rPr>
          <w:rFonts w:ascii="Arial" w:hAnsi="Arial" w:cs="Arial"/>
          <w:sz w:val="20"/>
          <w:szCs w:val="32"/>
        </w:rPr>
      </w:pPr>
      <w:r w:rsidRPr="00E3312E">
        <w:rPr>
          <w:rFonts w:ascii="Arial" w:hAnsi="Arial" w:cs="Arial"/>
          <w:sz w:val="20"/>
          <w:szCs w:val="32"/>
        </w:rPr>
        <w:t>Výběrový soubor zahrnoval v každém čtvrtletí roku 20</w:t>
      </w:r>
      <w:r w:rsidR="00CA6951" w:rsidRPr="00E3312E">
        <w:rPr>
          <w:rFonts w:ascii="Arial" w:hAnsi="Arial" w:cs="Arial"/>
          <w:sz w:val="20"/>
          <w:szCs w:val="32"/>
        </w:rPr>
        <w:t>2</w:t>
      </w:r>
      <w:r w:rsidR="00B14AD2" w:rsidRPr="00E3312E">
        <w:rPr>
          <w:rFonts w:ascii="Arial" w:hAnsi="Arial" w:cs="Arial"/>
          <w:sz w:val="20"/>
          <w:szCs w:val="32"/>
        </w:rPr>
        <w:t>4</w:t>
      </w:r>
      <w:r w:rsidRPr="00E3312E">
        <w:rPr>
          <w:rFonts w:ascii="Arial" w:hAnsi="Arial" w:cs="Arial"/>
          <w:sz w:val="20"/>
          <w:szCs w:val="32"/>
        </w:rPr>
        <w:t xml:space="preserve"> </w:t>
      </w:r>
      <w:r w:rsidR="005310D5" w:rsidRPr="00E3312E">
        <w:rPr>
          <w:rFonts w:ascii="Arial" w:hAnsi="Arial" w:cs="Arial"/>
          <w:sz w:val="20"/>
          <w:szCs w:val="32"/>
        </w:rPr>
        <w:t xml:space="preserve">průměrně </w:t>
      </w:r>
      <w:r w:rsidR="00E574C5" w:rsidRPr="00E3312E">
        <w:rPr>
          <w:rFonts w:ascii="Arial" w:hAnsi="Arial" w:cs="Arial"/>
          <w:b/>
          <w:sz w:val="20"/>
          <w:szCs w:val="32"/>
        </w:rPr>
        <w:t>2</w:t>
      </w:r>
      <w:r w:rsidR="00391746" w:rsidRPr="00E3312E">
        <w:rPr>
          <w:rFonts w:ascii="Arial" w:hAnsi="Arial" w:cs="Arial"/>
          <w:b/>
          <w:sz w:val="20"/>
          <w:szCs w:val="32"/>
        </w:rPr>
        <w:t>3</w:t>
      </w:r>
      <w:r w:rsidR="003A15EE" w:rsidRPr="00E3312E">
        <w:rPr>
          <w:rFonts w:ascii="Arial" w:hAnsi="Arial" w:cs="Arial"/>
          <w:b/>
          <w:sz w:val="20"/>
          <w:szCs w:val="32"/>
        </w:rPr>
        <w:t>,5</w:t>
      </w:r>
      <w:r w:rsidR="005310D5" w:rsidRPr="00E3312E">
        <w:rPr>
          <w:rFonts w:ascii="Arial" w:hAnsi="Arial" w:cs="Arial"/>
          <w:b/>
          <w:sz w:val="20"/>
          <w:szCs w:val="32"/>
        </w:rPr>
        <w:t xml:space="preserve"> tis. bytů</w:t>
      </w:r>
      <w:r w:rsidRPr="00E3312E">
        <w:rPr>
          <w:rFonts w:ascii="Arial" w:hAnsi="Arial" w:cs="Arial"/>
          <w:b/>
          <w:sz w:val="20"/>
          <w:szCs w:val="32"/>
        </w:rPr>
        <w:t xml:space="preserve"> </w:t>
      </w:r>
      <w:r w:rsidRPr="00E3312E">
        <w:rPr>
          <w:rFonts w:ascii="Arial" w:hAnsi="Arial" w:cs="Arial"/>
          <w:sz w:val="20"/>
          <w:szCs w:val="32"/>
        </w:rPr>
        <w:t>na území celé České republiky (přes 0,</w:t>
      </w:r>
      <w:r w:rsidR="005A0967" w:rsidRPr="00E3312E">
        <w:rPr>
          <w:rFonts w:ascii="Arial" w:hAnsi="Arial" w:cs="Arial"/>
          <w:sz w:val="20"/>
          <w:szCs w:val="32"/>
        </w:rPr>
        <w:t>5</w:t>
      </w:r>
      <w:r w:rsidRPr="00E3312E">
        <w:rPr>
          <w:rFonts w:ascii="Arial" w:hAnsi="Arial" w:cs="Arial"/>
          <w:sz w:val="20"/>
          <w:szCs w:val="32"/>
        </w:rPr>
        <w:t xml:space="preserve"> % všech </w:t>
      </w:r>
      <w:r w:rsidR="005A0967" w:rsidRPr="00E3312E">
        <w:rPr>
          <w:rFonts w:ascii="Arial" w:hAnsi="Arial" w:cs="Arial"/>
          <w:sz w:val="20"/>
          <w:szCs w:val="32"/>
        </w:rPr>
        <w:t xml:space="preserve">obvykle </w:t>
      </w:r>
      <w:r w:rsidRPr="00E3312E">
        <w:rPr>
          <w:rFonts w:ascii="Arial" w:hAnsi="Arial" w:cs="Arial"/>
          <w:sz w:val="20"/>
          <w:szCs w:val="32"/>
        </w:rPr>
        <w:t>obydlených bytů), v nichž bylo šetřeno</w:t>
      </w:r>
      <w:r w:rsidR="00C37BFE" w:rsidRPr="00E3312E">
        <w:rPr>
          <w:rFonts w:ascii="Arial" w:hAnsi="Arial" w:cs="Arial"/>
          <w:sz w:val="20"/>
          <w:szCs w:val="32"/>
        </w:rPr>
        <w:t xml:space="preserve"> </w:t>
      </w:r>
      <w:r w:rsidR="00391746" w:rsidRPr="00E3312E">
        <w:rPr>
          <w:rFonts w:ascii="Arial" w:hAnsi="Arial" w:cs="Arial"/>
          <w:b/>
          <w:sz w:val="20"/>
          <w:szCs w:val="32"/>
        </w:rPr>
        <w:t>4</w:t>
      </w:r>
      <w:r w:rsidR="003E23F5" w:rsidRPr="00E3312E">
        <w:rPr>
          <w:rFonts w:ascii="Arial" w:hAnsi="Arial" w:cs="Arial"/>
          <w:b/>
          <w:sz w:val="20"/>
          <w:szCs w:val="32"/>
        </w:rPr>
        <w:t>8</w:t>
      </w:r>
      <w:r w:rsidR="003A15EE" w:rsidRPr="00E3312E">
        <w:rPr>
          <w:rFonts w:ascii="Arial" w:hAnsi="Arial" w:cs="Arial"/>
          <w:b/>
          <w:sz w:val="20"/>
          <w:szCs w:val="32"/>
        </w:rPr>
        <w:t>,4</w:t>
      </w:r>
      <w:r w:rsidRPr="00E3312E">
        <w:rPr>
          <w:rFonts w:ascii="Arial" w:hAnsi="Arial" w:cs="Arial"/>
          <w:b/>
          <w:bCs/>
          <w:sz w:val="20"/>
          <w:szCs w:val="32"/>
        </w:rPr>
        <w:t> tis. respondentů všech věkových skupin</w:t>
      </w:r>
      <w:r w:rsidRPr="00E3312E">
        <w:rPr>
          <w:rFonts w:ascii="Arial" w:hAnsi="Arial" w:cs="Arial"/>
          <w:sz w:val="20"/>
          <w:szCs w:val="32"/>
        </w:rPr>
        <w:t xml:space="preserve">. Z nich je </w:t>
      </w:r>
      <w:r w:rsidR="003A15EE" w:rsidRPr="00E3312E">
        <w:rPr>
          <w:rFonts w:ascii="Arial" w:hAnsi="Arial" w:cs="Arial"/>
          <w:sz w:val="20"/>
          <w:szCs w:val="32"/>
        </w:rPr>
        <w:t xml:space="preserve">v průměru </w:t>
      </w:r>
      <w:r w:rsidR="00910F4F" w:rsidRPr="00E3312E">
        <w:rPr>
          <w:rFonts w:ascii="Arial" w:hAnsi="Arial" w:cs="Arial"/>
          <w:b/>
          <w:bCs/>
          <w:sz w:val="20"/>
          <w:szCs w:val="32"/>
        </w:rPr>
        <w:t>4</w:t>
      </w:r>
      <w:r w:rsidR="003A15EE" w:rsidRPr="00E3312E">
        <w:rPr>
          <w:rFonts w:ascii="Arial" w:hAnsi="Arial" w:cs="Arial"/>
          <w:b/>
          <w:bCs/>
          <w:sz w:val="20"/>
          <w:szCs w:val="32"/>
        </w:rPr>
        <w:t>2,0</w:t>
      </w:r>
      <w:r w:rsidRPr="00E3312E">
        <w:rPr>
          <w:rFonts w:ascii="Arial" w:hAnsi="Arial" w:cs="Arial"/>
          <w:b/>
          <w:bCs/>
          <w:sz w:val="20"/>
          <w:szCs w:val="32"/>
        </w:rPr>
        <w:t xml:space="preserve"> tis. respondentů ve věku </w:t>
      </w:r>
      <w:smartTag w:uri="urn:schemas-microsoft-com:office:smarttags" w:element="metricconverter">
        <w:smartTagPr>
          <w:attr w:name="ProductID" w:val="15 a"/>
        </w:smartTagPr>
        <w:r w:rsidRPr="00E3312E">
          <w:rPr>
            <w:rFonts w:ascii="Arial" w:hAnsi="Arial" w:cs="Arial"/>
            <w:b/>
            <w:bCs/>
            <w:sz w:val="20"/>
            <w:szCs w:val="32"/>
          </w:rPr>
          <w:t>15 a</w:t>
        </w:r>
      </w:smartTag>
      <w:r w:rsidRPr="00E3312E">
        <w:rPr>
          <w:rFonts w:ascii="Arial" w:hAnsi="Arial" w:cs="Arial"/>
          <w:b/>
          <w:bCs/>
          <w:sz w:val="20"/>
          <w:szCs w:val="32"/>
        </w:rPr>
        <w:t xml:space="preserve"> více let</w:t>
      </w:r>
      <w:r w:rsidRPr="00E3312E">
        <w:rPr>
          <w:rFonts w:ascii="Arial" w:hAnsi="Arial" w:cs="Arial"/>
          <w:sz w:val="20"/>
          <w:szCs w:val="32"/>
        </w:rPr>
        <w:t>. Tento rozsah souboru umožňuje získat odhady charakteristik trhu práce na úrovni republiky</w:t>
      </w:r>
      <w:r w:rsidRPr="00250C72">
        <w:rPr>
          <w:rFonts w:ascii="Arial" w:hAnsi="Arial" w:cs="Arial"/>
          <w:sz w:val="20"/>
          <w:szCs w:val="32"/>
        </w:rPr>
        <w:t xml:space="preserve"> i odhady </w:t>
      </w:r>
      <w:r w:rsidR="00C0158D" w:rsidRPr="00250C72">
        <w:rPr>
          <w:rFonts w:ascii="Arial" w:hAnsi="Arial" w:cs="Arial"/>
          <w:sz w:val="20"/>
          <w:szCs w:val="32"/>
        </w:rPr>
        <w:t>hodnot</w:t>
      </w:r>
      <w:r w:rsidR="00C0158D" w:rsidRPr="00250C72" w:rsidDel="002A5006">
        <w:rPr>
          <w:rFonts w:ascii="Arial" w:hAnsi="Arial" w:cs="Arial"/>
          <w:sz w:val="20"/>
          <w:szCs w:val="32"/>
        </w:rPr>
        <w:t xml:space="preserve"> </w:t>
      </w:r>
      <w:r w:rsidR="00C0158D" w:rsidRPr="00250C72">
        <w:rPr>
          <w:rFonts w:ascii="Arial" w:hAnsi="Arial" w:cs="Arial"/>
          <w:sz w:val="20"/>
          <w:szCs w:val="32"/>
        </w:rPr>
        <w:t>na úrovni NUTS 2 a NUTS 3</w:t>
      </w:r>
      <w:r w:rsidRPr="00250C72">
        <w:rPr>
          <w:rFonts w:ascii="Arial" w:hAnsi="Arial" w:cs="Arial"/>
          <w:sz w:val="20"/>
          <w:szCs w:val="32"/>
        </w:rPr>
        <w:t xml:space="preserve"> s přesností požadovanou </w:t>
      </w:r>
      <w:proofErr w:type="spellStart"/>
      <w:r w:rsidRPr="00250C72">
        <w:rPr>
          <w:rFonts w:ascii="Arial" w:hAnsi="Arial" w:cs="Arial"/>
          <w:sz w:val="20"/>
          <w:szCs w:val="32"/>
        </w:rPr>
        <w:t>Eurostatem</w:t>
      </w:r>
      <w:proofErr w:type="spellEnd"/>
      <w:r w:rsidRPr="00250C72">
        <w:rPr>
          <w:rFonts w:ascii="Arial" w:hAnsi="Arial" w:cs="Arial"/>
          <w:sz w:val="20"/>
          <w:szCs w:val="32"/>
        </w:rPr>
        <w:t xml:space="preserve">. </w:t>
      </w:r>
    </w:p>
    <w:p w:rsidR="00D30F1E" w:rsidRPr="003A07EB" w:rsidRDefault="00D30F1E" w:rsidP="00A56876">
      <w:pPr>
        <w:autoSpaceDE w:val="0"/>
        <w:autoSpaceDN w:val="0"/>
        <w:adjustRightInd w:val="0"/>
        <w:spacing w:before="240"/>
        <w:jc w:val="both"/>
        <w:rPr>
          <w:rFonts w:ascii="Arial" w:hAnsi="Arial"/>
          <w:sz w:val="20"/>
          <w:szCs w:val="17"/>
        </w:rPr>
      </w:pPr>
      <w:r w:rsidRPr="003A07EB">
        <w:rPr>
          <w:rFonts w:ascii="Arial" w:hAnsi="Arial"/>
          <w:b/>
          <w:bCs/>
          <w:sz w:val="20"/>
          <w:szCs w:val="17"/>
        </w:rPr>
        <w:t>Údaje za všechna čtvrtletí roku 202</w:t>
      </w:r>
      <w:r w:rsidR="00B14AD2">
        <w:rPr>
          <w:rFonts w:ascii="Arial" w:hAnsi="Arial"/>
          <w:b/>
          <w:bCs/>
          <w:sz w:val="20"/>
          <w:szCs w:val="17"/>
        </w:rPr>
        <w:t>4</w:t>
      </w:r>
      <w:r w:rsidRPr="003A07EB">
        <w:rPr>
          <w:rFonts w:ascii="Arial" w:hAnsi="Arial"/>
          <w:sz w:val="20"/>
          <w:szCs w:val="17"/>
        </w:rPr>
        <w:t xml:space="preserve"> byly</w:t>
      </w:r>
      <w:r w:rsidRPr="003A07EB">
        <w:rPr>
          <w:rFonts w:ascii="Arial" w:hAnsi="Arial"/>
          <w:b/>
          <w:sz w:val="20"/>
          <w:szCs w:val="17"/>
        </w:rPr>
        <w:t xml:space="preserve"> převáženy</w:t>
      </w:r>
      <w:r w:rsidRPr="003A07EB">
        <w:rPr>
          <w:rFonts w:ascii="Arial" w:hAnsi="Arial"/>
          <w:sz w:val="20"/>
          <w:szCs w:val="17"/>
        </w:rPr>
        <w:t xml:space="preserve"> na věkovou strukturu obyvatelstva podle populačních úhrnů z demografické statistiky</w:t>
      </w:r>
      <w:r w:rsidR="003E23F5" w:rsidRPr="003A07EB">
        <w:rPr>
          <w:rFonts w:ascii="Arial" w:hAnsi="Arial"/>
          <w:sz w:val="20"/>
          <w:szCs w:val="17"/>
        </w:rPr>
        <w:t xml:space="preserve"> k 31. 12. 202</w:t>
      </w:r>
      <w:r w:rsidR="00B14AD2">
        <w:rPr>
          <w:rFonts w:ascii="Arial" w:hAnsi="Arial"/>
          <w:sz w:val="20"/>
          <w:szCs w:val="17"/>
        </w:rPr>
        <w:t>3</w:t>
      </w:r>
      <w:r w:rsidRPr="003A07EB">
        <w:rPr>
          <w:rFonts w:ascii="Arial" w:hAnsi="Arial"/>
          <w:sz w:val="20"/>
          <w:szCs w:val="17"/>
        </w:rPr>
        <w:t>.</w:t>
      </w:r>
      <w:r w:rsidRPr="003A07EB">
        <w:rPr>
          <w:rFonts w:ascii="Arial" w:hAnsi="Arial"/>
          <w:b/>
          <w:sz w:val="20"/>
          <w:szCs w:val="17"/>
        </w:rPr>
        <w:t xml:space="preserve"> Odečteny </w:t>
      </w:r>
      <w:r w:rsidRPr="003A07EB">
        <w:rPr>
          <w:rFonts w:ascii="Arial" w:hAnsi="Arial"/>
          <w:sz w:val="20"/>
          <w:szCs w:val="17"/>
        </w:rPr>
        <w:t xml:space="preserve">byly </w:t>
      </w:r>
      <w:r w:rsidRPr="003A07EB">
        <w:rPr>
          <w:rFonts w:ascii="Arial" w:hAnsi="Arial"/>
          <w:b/>
          <w:sz w:val="20"/>
          <w:szCs w:val="17"/>
        </w:rPr>
        <w:t>odhady počtu osob bydlících mimo soukromé domácnosti</w:t>
      </w:r>
      <w:r w:rsidRPr="003A07EB">
        <w:rPr>
          <w:rFonts w:ascii="Arial" w:hAnsi="Arial"/>
          <w:sz w:val="20"/>
          <w:szCs w:val="17"/>
        </w:rPr>
        <w:t>, tj. žijících v tzv. kolektivních domácnostech (</w:t>
      </w:r>
      <w:r w:rsidR="003E23F5" w:rsidRPr="003A07EB">
        <w:rPr>
          <w:rFonts w:ascii="Arial" w:hAnsi="Arial"/>
          <w:sz w:val="20"/>
          <w:szCs w:val="17"/>
        </w:rPr>
        <w:t xml:space="preserve">domovech důchodců, ústavech sociální péče, </w:t>
      </w:r>
      <w:r w:rsidRPr="003A07EB">
        <w:rPr>
          <w:rFonts w:ascii="Arial" w:hAnsi="Arial"/>
          <w:sz w:val="20"/>
          <w:szCs w:val="17"/>
        </w:rPr>
        <w:t>nápravných zařízeních apod.) na základě údajů statistiky sociálního zabezpečení, a dále odhad</w:t>
      </w:r>
      <w:r w:rsidR="006A3B7D" w:rsidRPr="003A07EB">
        <w:rPr>
          <w:rFonts w:ascii="Arial" w:hAnsi="Arial"/>
          <w:sz w:val="20"/>
          <w:szCs w:val="17"/>
        </w:rPr>
        <w:t>ů</w:t>
      </w:r>
      <w:r w:rsidRPr="003A07EB">
        <w:rPr>
          <w:rFonts w:ascii="Arial" w:hAnsi="Arial"/>
          <w:sz w:val="20"/>
          <w:szCs w:val="17"/>
        </w:rPr>
        <w:t xml:space="preserve"> počtu vězňů a počtu přistěhovaných cizinců, jež nežijí v</w:t>
      </w:r>
      <w:r w:rsidR="006A3B7D" w:rsidRPr="003A07EB">
        <w:rPr>
          <w:rFonts w:ascii="Arial" w:hAnsi="Arial"/>
          <w:sz w:val="20"/>
          <w:szCs w:val="17"/>
        </w:rPr>
        <w:t> </w:t>
      </w:r>
      <w:r w:rsidRPr="003A07EB">
        <w:rPr>
          <w:rFonts w:ascii="Arial" w:hAnsi="Arial"/>
          <w:sz w:val="20"/>
          <w:szCs w:val="17"/>
        </w:rPr>
        <w:t xml:space="preserve">bytech. Uvedený </w:t>
      </w:r>
      <w:r w:rsidRPr="003A07EB">
        <w:rPr>
          <w:rFonts w:ascii="Arial" w:hAnsi="Arial"/>
          <w:b/>
          <w:sz w:val="20"/>
          <w:szCs w:val="17"/>
        </w:rPr>
        <w:t>způsob přepočtu</w:t>
      </w:r>
      <w:r w:rsidRPr="003A07EB">
        <w:rPr>
          <w:rFonts w:ascii="Arial" w:hAnsi="Arial"/>
          <w:sz w:val="20"/>
          <w:szCs w:val="17"/>
        </w:rPr>
        <w:t xml:space="preserve"> nejlépe </w:t>
      </w:r>
      <w:r w:rsidRPr="003A07EB">
        <w:rPr>
          <w:rFonts w:ascii="Arial" w:hAnsi="Arial"/>
          <w:b/>
          <w:sz w:val="20"/>
          <w:szCs w:val="17"/>
        </w:rPr>
        <w:t>koresponduje s okruhem osob zahrnutých do šetření</w:t>
      </w:r>
      <w:r w:rsidRPr="003A07EB">
        <w:rPr>
          <w:rFonts w:ascii="Arial" w:hAnsi="Arial"/>
          <w:sz w:val="20"/>
          <w:szCs w:val="17"/>
        </w:rPr>
        <w:t>, tj. obyvatelstvo obvykle bydlící v soukromých domácnostech).</w:t>
      </w:r>
    </w:p>
    <w:p w:rsidR="001A78C2" w:rsidRPr="00FC1500" w:rsidRDefault="001A78C2">
      <w:pPr>
        <w:spacing w:before="200"/>
        <w:jc w:val="both"/>
        <w:rPr>
          <w:rFonts w:ascii="Arial" w:hAnsi="Arial"/>
          <w:sz w:val="20"/>
          <w:szCs w:val="28"/>
        </w:rPr>
      </w:pPr>
      <w:r w:rsidRPr="003A07EB">
        <w:rPr>
          <w:rFonts w:ascii="Arial" w:hAnsi="Arial"/>
          <w:sz w:val="20"/>
        </w:rPr>
        <w:t>VŠPS je kontinuální šetření, jehož výsledky jsou vyhodnocovány a publikovány ve čtvrtletní</w:t>
      </w:r>
      <w:r w:rsidRPr="00FC1500">
        <w:rPr>
          <w:rFonts w:ascii="Arial" w:hAnsi="Arial"/>
          <w:sz w:val="20"/>
        </w:rPr>
        <w:t xml:space="preserve"> periodicitě. </w:t>
      </w:r>
      <w:r w:rsidR="00A3198B">
        <w:rPr>
          <w:rFonts w:ascii="Arial" w:hAnsi="Arial"/>
          <w:sz w:val="20"/>
        </w:rPr>
        <w:t>Následně jsou publikovány p</w:t>
      </w:r>
      <w:r w:rsidRPr="00FC1500">
        <w:rPr>
          <w:rFonts w:ascii="Arial" w:hAnsi="Arial"/>
          <w:sz w:val="20"/>
        </w:rPr>
        <w:t xml:space="preserve">růměrné roční údaje </w:t>
      </w:r>
      <w:r w:rsidR="00A3198B">
        <w:rPr>
          <w:rFonts w:ascii="Arial" w:hAnsi="Arial"/>
          <w:sz w:val="20"/>
        </w:rPr>
        <w:t>ukončeného kalendářního roku.</w:t>
      </w:r>
      <w:r w:rsidR="00D30F1E">
        <w:rPr>
          <w:rFonts w:ascii="Arial" w:hAnsi="Arial"/>
          <w:sz w:val="20"/>
        </w:rPr>
        <w:t xml:space="preserve"> </w:t>
      </w:r>
    </w:p>
    <w:p w:rsidR="00035C52" w:rsidRPr="00FC1500" w:rsidRDefault="00035C52" w:rsidP="00F224F8">
      <w:pPr>
        <w:spacing w:before="200"/>
        <w:jc w:val="both"/>
        <w:rPr>
          <w:rFonts w:ascii="Arial" w:hAnsi="Arial"/>
          <w:sz w:val="20"/>
          <w:szCs w:val="28"/>
        </w:rPr>
      </w:pPr>
      <w:r w:rsidRPr="00FC1500">
        <w:rPr>
          <w:rFonts w:ascii="Arial" w:hAnsi="Arial"/>
          <w:b/>
          <w:sz w:val="20"/>
          <w:szCs w:val="28"/>
        </w:rPr>
        <w:t>Od roku 2011</w:t>
      </w:r>
      <w:r w:rsidRPr="00FC1500">
        <w:rPr>
          <w:rFonts w:ascii="Arial" w:hAnsi="Arial"/>
          <w:sz w:val="20"/>
          <w:szCs w:val="28"/>
        </w:rPr>
        <w:t xml:space="preserve"> </w:t>
      </w:r>
      <w:r w:rsidRPr="00FC1500">
        <w:rPr>
          <w:rFonts w:ascii="Arial" w:hAnsi="Arial"/>
          <w:b/>
          <w:sz w:val="20"/>
          <w:szCs w:val="28"/>
        </w:rPr>
        <w:t>nejsou</w:t>
      </w:r>
      <w:r w:rsidRPr="00FC1500">
        <w:rPr>
          <w:rFonts w:ascii="Arial" w:hAnsi="Arial"/>
          <w:sz w:val="20"/>
          <w:szCs w:val="28"/>
        </w:rPr>
        <w:t xml:space="preserve"> samostatně publikovány </w:t>
      </w:r>
      <w:r w:rsidRPr="00FC1500">
        <w:rPr>
          <w:rFonts w:ascii="Arial" w:hAnsi="Arial"/>
          <w:b/>
          <w:sz w:val="20"/>
          <w:szCs w:val="28"/>
        </w:rPr>
        <w:t>údaje za civilní sektor</w:t>
      </w:r>
      <w:r w:rsidRPr="00FC1500">
        <w:rPr>
          <w:rFonts w:ascii="Arial" w:hAnsi="Arial"/>
          <w:sz w:val="20"/>
          <w:szCs w:val="28"/>
        </w:rPr>
        <w:t>. Veškeré tabulky dříve publikované za civilní sektor (tabulky typu 300)  jsou publikovány za celé národní hospodářství, a to ve stejném formátu, při zachování hlaviček i sloupců.</w:t>
      </w:r>
    </w:p>
    <w:p w:rsidR="00B25EC4" w:rsidRPr="000224F3" w:rsidRDefault="00B25EC4" w:rsidP="00F224F8">
      <w:pPr>
        <w:spacing w:before="200"/>
        <w:jc w:val="both"/>
        <w:rPr>
          <w:rFonts w:ascii="Arial" w:hAnsi="Arial"/>
          <w:sz w:val="20"/>
          <w:szCs w:val="28"/>
        </w:rPr>
      </w:pPr>
      <w:r w:rsidRPr="000224F3">
        <w:rPr>
          <w:rFonts w:ascii="Arial" w:hAnsi="Arial"/>
          <w:b/>
          <w:sz w:val="20"/>
          <w:szCs w:val="28"/>
        </w:rPr>
        <w:t>Od roku 2011</w:t>
      </w:r>
      <w:r w:rsidRPr="000224F3">
        <w:rPr>
          <w:rFonts w:ascii="Arial" w:hAnsi="Arial"/>
          <w:sz w:val="20"/>
          <w:szCs w:val="28"/>
        </w:rPr>
        <w:t xml:space="preserve"> jsou zjišťovány </w:t>
      </w:r>
      <w:r w:rsidRPr="000224F3">
        <w:rPr>
          <w:rFonts w:ascii="Arial" w:hAnsi="Arial"/>
          <w:b/>
          <w:sz w:val="20"/>
          <w:szCs w:val="28"/>
        </w:rPr>
        <w:t>některé ukazatele v omezeném rozsahu</w:t>
      </w:r>
      <w:r w:rsidRPr="000224F3">
        <w:rPr>
          <w:rFonts w:ascii="Arial" w:hAnsi="Arial"/>
          <w:sz w:val="20"/>
          <w:szCs w:val="28"/>
        </w:rPr>
        <w:t xml:space="preserve">, a proto nejsou součástí pravidelných čtvrtletních a ročních publikací. Příslušné údaje budou k dispozici </w:t>
      </w:r>
      <w:r w:rsidRPr="000224F3">
        <w:rPr>
          <w:rFonts w:ascii="Arial" w:hAnsi="Arial"/>
          <w:b/>
          <w:sz w:val="20"/>
          <w:szCs w:val="28"/>
        </w:rPr>
        <w:t>jen jako roční údaje</w:t>
      </w:r>
      <w:r w:rsidR="00FF283D" w:rsidRPr="000224F3">
        <w:rPr>
          <w:rFonts w:ascii="Arial" w:hAnsi="Arial"/>
          <w:sz w:val="20"/>
          <w:szCs w:val="28"/>
        </w:rPr>
        <w:t xml:space="preserve"> </w:t>
      </w:r>
      <w:r w:rsidRPr="000224F3">
        <w:rPr>
          <w:rFonts w:ascii="Arial" w:hAnsi="Arial"/>
          <w:sz w:val="20"/>
          <w:szCs w:val="28"/>
        </w:rPr>
        <w:t>a</w:t>
      </w:r>
      <w:r w:rsidR="00FF283D" w:rsidRPr="000224F3">
        <w:rPr>
          <w:rFonts w:ascii="Arial" w:hAnsi="Arial"/>
          <w:sz w:val="20"/>
          <w:szCs w:val="28"/>
        </w:rPr>
        <w:t> </w:t>
      </w:r>
      <w:r w:rsidRPr="000224F3">
        <w:rPr>
          <w:rFonts w:ascii="Arial" w:hAnsi="Arial"/>
          <w:sz w:val="20"/>
          <w:szCs w:val="28"/>
        </w:rPr>
        <w:t>lze si je vyžádat prostřednictvím informačního servisu ČSÚ. Jsou to tyto dříve pravidelně publikované ukazatele (v předešlých ročních průměrech č. tabulky):</w:t>
      </w:r>
    </w:p>
    <w:p w:rsidR="001C5254" w:rsidRPr="000224F3" w:rsidRDefault="001C5254" w:rsidP="006E3E78">
      <w:pPr>
        <w:ind w:left="1134"/>
        <w:jc w:val="both"/>
        <w:rPr>
          <w:rFonts w:ascii="Arial" w:hAnsi="Arial"/>
          <w:sz w:val="20"/>
          <w:szCs w:val="28"/>
        </w:rPr>
      </w:pPr>
      <w:r w:rsidRPr="000224F3">
        <w:rPr>
          <w:rFonts w:ascii="Arial" w:hAnsi="Arial"/>
          <w:sz w:val="20"/>
          <w:szCs w:val="28"/>
        </w:rPr>
        <w:t>- důvody ekonomické neaktivity</w:t>
      </w:r>
      <w:r w:rsidR="00056316" w:rsidRPr="000224F3">
        <w:rPr>
          <w:rFonts w:ascii="Arial" w:hAnsi="Arial"/>
          <w:sz w:val="20"/>
          <w:szCs w:val="28"/>
        </w:rPr>
        <w:t xml:space="preserve"> (107)</w:t>
      </w:r>
      <w:r w:rsidR="00D60E5D" w:rsidRPr="000224F3">
        <w:rPr>
          <w:rFonts w:ascii="Arial" w:hAnsi="Arial"/>
          <w:sz w:val="20"/>
          <w:szCs w:val="28"/>
        </w:rPr>
        <w:t>;</w:t>
      </w:r>
    </w:p>
    <w:p w:rsidR="00056316" w:rsidRPr="000224F3" w:rsidRDefault="00056316" w:rsidP="006E3E78">
      <w:pPr>
        <w:ind w:left="1134"/>
        <w:jc w:val="both"/>
        <w:rPr>
          <w:rFonts w:ascii="Arial" w:hAnsi="Arial"/>
          <w:sz w:val="20"/>
          <w:szCs w:val="28"/>
        </w:rPr>
      </w:pPr>
      <w:r w:rsidRPr="000224F3">
        <w:rPr>
          <w:rFonts w:ascii="Arial" w:hAnsi="Arial"/>
          <w:sz w:val="20"/>
          <w:szCs w:val="28"/>
        </w:rPr>
        <w:t>- osoby se zdravotním postižením (108)</w:t>
      </w:r>
      <w:r w:rsidR="00D60E5D" w:rsidRPr="000224F3">
        <w:rPr>
          <w:rFonts w:ascii="Arial" w:hAnsi="Arial"/>
          <w:sz w:val="20"/>
          <w:szCs w:val="28"/>
        </w:rPr>
        <w:t>;</w:t>
      </w:r>
    </w:p>
    <w:p w:rsidR="00B71F2D" w:rsidRPr="000224F3" w:rsidRDefault="0031474E" w:rsidP="006E3E78">
      <w:pPr>
        <w:ind w:left="1134"/>
        <w:jc w:val="both"/>
        <w:rPr>
          <w:rFonts w:ascii="Arial" w:hAnsi="Arial"/>
          <w:sz w:val="20"/>
          <w:szCs w:val="28"/>
        </w:rPr>
      </w:pPr>
      <w:r w:rsidRPr="000224F3">
        <w:rPr>
          <w:rFonts w:ascii="Arial" w:hAnsi="Arial"/>
          <w:sz w:val="20"/>
          <w:szCs w:val="28"/>
        </w:rPr>
        <w:lastRenderedPageBreak/>
        <w:t xml:space="preserve">- </w:t>
      </w:r>
      <w:r w:rsidR="00B71F2D" w:rsidRPr="000224F3">
        <w:rPr>
          <w:rFonts w:ascii="Arial" w:hAnsi="Arial"/>
          <w:sz w:val="20"/>
          <w:szCs w:val="28"/>
        </w:rPr>
        <w:t xml:space="preserve">práce v atypickou dobu – </w:t>
      </w:r>
      <w:r w:rsidR="00B8726B" w:rsidRPr="000224F3">
        <w:rPr>
          <w:rFonts w:ascii="Arial" w:hAnsi="Arial"/>
          <w:sz w:val="20"/>
          <w:szCs w:val="28"/>
        </w:rPr>
        <w:t xml:space="preserve">na </w:t>
      </w:r>
      <w:r w:rsidR="00B71F2D" w:rsidRPr="000224F3">
        <w:rPr>
          <w:rFonts w:ascii="Arial" w:hAnsi="Arial"/>
          <w:sz w:val="20"/>
          <w:szCs w:val="28"/>
        </w:rPr>
        <w:t>směny, večer, v noci, v sobotu, v neděli (313)</w:t>
      </w:r>
    </w:p>
    <w:p w:rsidR="00193F70" w:rsidRPr="000224F3" w:rsidRDefault="006F7D05" w:rsidP="00193F70">
      <w:pPr>
        <w:tabs>
          <w:tab w:val="left" w:pos="709"/>
          <w:tab w:val="left" w:pos="1134"/>
        </w:tabs>
        <w:jc w:val="both"/>
        <w:rPr>
          <w:rFonts w:ascii="Arial" w:hAnsi="Arial"/>
          <w:b/>
          <w:sz w:val="20"/>
          <w:szCs w:val="28"/>
        </w:rPr>
      </w:pPr>
      <w:r w:rsidRPr="000224F3">
        <w:rPr>
          <w:rFonts w:ascii="Arial" w:hAnsi="Arial"/>
          <w:b/>
          <w:sz w:val="20"/>
          <w:szCs w:val="28"/>
        </w:rPr>
        <w:tab/>
      </w:r>
      <w:r w:rsidR="00193F70" w:rsidRPr="000224F3">
        <w:rPr>
          <w:rFonts w:ascii="Arial" w:hAnsi="Arial"/>
          <w:b/>
          <w:sz w:val="20"/>
          <w:szCs w:val="28"/>
        </w:rPr>
        <w:tab/>
        <w:t>Od roku 2014 jsou obory vzdělání opět zjišťovány čtvrtletně.</w:t>
      </w:r>
    </w:p>
    <w:p w:rsidR="00193F70" w:rsidRPr="000224F3" w:rsidRDefault="00193F70" w:rsidP="00193F70">
      <w:pPr>
        <w:ind w:left="1134"/>
        <w:jc w:val="both"/>
        <w:rPr>
          <w:rFonts w:ascii="Arial" w:hAnsi="Arial"/>
          <w:sz w:val="20"/>
          <w:szCs w:val="28"/>
        </w:rPr>
      </w:pPr>
      <w:r w:rsidRPr="000224F3">
        <w:rPr>
          <w:rFonts w:ascii="Arial" w:hAnsi="Arial"/>
          <w:sz w:val="20"/>
          <w:szCs w:val="28"/>
        </w:rPr>
        <w:t>- obory vzdělání (103, 105, 203, 403) - pozn.: na vyžádání lze poskytnout</w:t>
      </w:r>
      <w:r w:rsidR="00373E33" w:rsidRPr="000224F3">
        <w:rPr>
          <w:rFonts w:ascii="Arial" w:hAnsi="Arial"/>
          <w:sz w:val="20"/>
          <w:szCs w:val="28"/>
        </w:rPr>
        <w:t xml:space="preserve"> roční i</w:t>
      </w:r>
      <w:r w:rsidRPr="000224F3">
        <w:rPr>
          <w:rFonts w:ascii="Arial" w:hAnsi="Arial"/>
          <w:sz w:val="20"/>
          <w:szCs w:val="28"/>
        </w:rPr>
        <w:t xml:space="preserve"> čtvrtletní údaje</w:t>
      </w:r>
    </w:p>
    <w:p w:rsidR="00D60E5D" w:rsidRPr="000224F3" w:rsidRDefault="00D60E5D" w:rsidP="00FC1500">
      <w:pPr>
        <w:jc w:val="both"/>
        <w:rPr>
          <w:rFonts w:ascii="Arial" w:hAnsi="Arial"/>
          <w:sz w:val="20"/>
          <w:szCs w:val="28"/>
        </w:rPr>
      </w:pPr>
    </w:p>
    <w:p w:rsidR="001A78C2" w:rsidRPr="00FC1500" w:rsidRDefault="00D60E5D" w:rsidP="00AD7CC7">
      <w:pPr>
        <w:spacing w:before="120"/>
        <w:jc w:val="both"/>
      </w:pPr>
      <w:r w:rsidRPr="000224F3">
        <w:rPr>
          <w:rFonts w:ascii="Arial" w:hAnsi="Arial"/>
          <w:b/>
          <w:sz w:val="20"/>
          <w:szCs w:val="28"/>
        </w:rPr>
        <w:t>Od 3. čtvrtletí roku 2016</w:t>
      </w:r>
      <w:r w:rsidRPr="000224F3">
        <w:rPr>
          <w:rFonts w:ascii="Arial" w:hAnsi="Arial"/>
          <w:sz w:val="20"/>
          <w:szCs w:val="28"/>
        </w:rPr>
        <w:t xml:space="preserve"> jsou ve VŠPS obory vzdělání zjišťovány podle nové Klasifikace oborů vzdělání </w:t>
      </w:r>
      <w:r w:rsidRPr="000224F3">
        <w:rPr>
          <w:rFonts w:ascii="Arial" w:hAnsi="Arial"/>
          <w:b/>
          <w:sz w:val="20"/>
          <w:szCs w:val="28"/>
        </w:rPr>
        <w:t>CZ-ISCED-F 2013</w:t>
      </w:r>
      <w:r w:rsidRPr="000224F3">
        <w:rPr>
          <w:rFonts w:ascii="Arial" w:hAnsi="Arial"/>
          <w:sz w:val="20"/>
          <w:szCs w:val="28"/>
        </w:rPr>
        <w:t xml:space="preserve">, která je plně v souladu s mezinárodním standardem, který byl vytvořen </w:t>
      </w:r>
      <w:r w:rsidRPr="007257B0">
        <w:rPr>
          <w:rFonts w:ascii="Arial" w:hAnsi="Arial"/>
          <w:sz w:val="20"/>
          <w:szCs w:val="28"/>
        </w:rPr>
        <w:t>organizací UNESCO.</w:t>
      </w:r>
    </w:p>
    <w:sectPr w:rsidR="001A78C2" w:rsidRPr="00FC1500" w:rsidSect="00122A55">
      <w:footerReference w:type="even" r:id="rId8"/>
      <w:footerReference w:type="default" r:id="rId9"/>
      <w:type w:val="continuous"/>
      <w:pgSz w:w="11905" w:h="16837" w:code="9"/>
      <w:pgMar w:top="1418" w:right="1418" w:bottom="1985" w:left="1418" w:header="1191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8E5" w:rsidRDefault="009748E5">
      <w:r>
        <w:separator/>
      </w:r>
    </w:p>
  </w:endnote>
  <w:endnote w:type="continuationSeparator" w:id="0">
    <w:p w:rsidR="009748E5" w:rsidRDefault="0097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28A" w:rsidRDefault="00256D7F">
    <w:pPr>
      <w:pStyle w:val="Zpat"/>
      <w:tabs>
        <w:tab w:val="clear" w:pos="4536"/>
      </w:tabs>
      <w:spacing w:before="480"/>
      <w:rPr>
        <w:rStyle w:val="slostrnky"/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183515</wp:posOffset>
              </wp:positionV>
              <wp:extent cx="5715000" cy="0"/>
              <wp:effectExtent l="14605" t="12700" r="13970" b="635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609429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4.45pt" to="450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5I5Eg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" strokeweight=".96pt">
              <w10:wrap anchorx="margin"/>
            </v:line>
          </w:pict>
        </mc:Fallback>
      </mc:AlternateContent>
    </w:r>
    <w:r w:rsidR="00B6128A">
      <w:rPr>
        <w:rStyle w:val="slostrnky"/>
        <w:rFonts w:ascii="Arial" w:hAnsi="Arial" w:cs="Arial"/>
        <w:sz w:val="18"/>
      </w:rPr>
      <w:tab/>
    </w:r>
    <w:r w:rsidR="00B6128A">
      <w:rPr>
        <w:rFonts w:ascii="Arial" w:hAnsi="Arial" w:cs="Arial"/>
        <w:sz w:val="18"/>
      </w:rPr>
      <w:t>Roční průměry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28A" w:rsidRDefault="00256D7F">
    <w:pPr>
      <w:tabs>
        <w:tab w:val="left" w:pos="0"/>
        <w:tab w:val="right" w:pos="9000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jc w:val="both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104775</wp:posOffset>
              </wp:positionV>
              <wp:extent cx="5715000" cy="0"/>
              <wp:effectExtent l="14605" t="12700" r="13970" b="635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FCA077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8.25pt" to="450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g+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" strokeweight=".96pt">
              <w10:wrap anchorx="margin"/>
            </v:line>
          </w:pict>
        </mc:Fallback>
      </mc:AlternateContent>
    </w:r>
    <w:r w:rsidR="00B6128A">
      <w:rPr>
        <w:rFonts w:ascii="Arial" w:hAnsi="Arial" w:cs="Arial"/>
        <w:sz w:val="18"/>
      </w:rPr>
      <w:t>Roční průměry 2024</w:t>
    </w:r>
    <w:r w:rsidR="00B6128A">
      <w:rPr>
        <w:rFonts w:ascii="Arial" w:hAnsi="Arial" w:cs="Arial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8E5" w:rsidRDefault="009748E5">
      <w:r>
        <w:separator/>
      </w:r>
    </w:p>
  </w:footnote>
  <w:footnote w:type="continuationSeparator" w:id="0">
    <w:p w:rsidR="009748E5" w:rsidRDefault="00974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EA8"/>
    <w:multiLevelType w:val="multilevel"/>
    <w:tmpl w:val="EAF67776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5"/>
      <w:numFmt w:val="upperLetter"/>
      <w:lvlRestart w:val="0"/>
      <w:lvlText w:val="III. %2."/>
      <w:lvlJc w:val="left"/>
      <w:pPr>
        <w:tabs>
          <w:tab w:val="num" w:pos="1589"/>
        </w:tabs>
        <w:ind w:left="1589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III. %2. %3."/>
      <w:lvlJc w:val="left"/>
      <w:pPr>
        <w:tabs>
          <w:tab w:val="num" w:pos="235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" w15:restartNumberingAfterBreak="0">
    <w:nsid w:val="08030AFF"/>
    <w:multiLevelType w:val="hybridMultilevel"/>
    <w:tmpl w:val="EEFCEA96"/>
    <w:lvl w:ilvl="0" w:tplc="8208E4BE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84E7D"/>
    <w:multiLevelType w:val="multilevel"/>
    <w:tmpl w:val="42F633AC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2D640D67"/>
    <w:multiLevelType w:val="multilevel"/>
    <w:tmpl w:val="6F20AF1E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4" w15:restartNumberingAfterBreak="0">
    <w:nsid w:val="3FF60816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5" w15:restartNumberingAfterBreak="0">
    <w:nsid w:val="46D760E2"/>
    <w:multiLevelType w:val="hybridMultilevel"/>
    <w:tmpl w:val="7618DC82"/>
    <w:lvl w:ilvl="0" w:tplc="04050009">
      <w:start w:val="1"/>
      <w:numFmt w:val="bullet"/>
      <w:lvlText w:val="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49CF3BC6"/>
    <w:multiLevelType w:val="hybridMultilevel"/>
    <w:tmpl w:val="9C02A71C"/>
    <w:lvl w:ilvl="0" w:tplc="3168C828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AD73FA"/>
    <w:multiLevelType w:val="hybridMultilevel"/>
    <w:tmpl w:val="FC0E5EF6"/>
    <w:lvl w:ilvl="0" w:tplc="53D6B6E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7BCA7B54">
      <w:start w:val="1"/>
      <w:numFmt w:val="upperLetter"/>
      <w:lvlText w:val="%2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2" w:tplc="4A900542">
      <w:start w:val="3"/>
      <w:numFmt w:val="upperRoman"/>
      <w:lvlText w:val="%3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3" w:tplc="82D24EDC">
      <w:start w:val="1"/>
      <w:numFmt w:val="upperLetter"/>
      <w:lvlText w:val="%4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4" w:tplc="CF187AFE">
      <w:start w:val="5"/>
      <w:numFmt w:val="upperRoman"/>
      <w:lvlText w:val="%5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5" w:tplc="672A2E0A">
      <w:start w:val="1"/>
      <w:numFmt w:val="upperLetter"/>
      <w:lvlText w:val="%6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6" w:tplc="012AFB9C">
      <w:start w:val="6"/>
      <w:numFmt w:val="upperRoman"/>
      <w:lvlText w:val="%7."/>
      <w:lvlJc w:val="right"/>
      <w:pPr>
        <w:tabs>
          <w:tab w:val="num" w:pos="567"/>
        </w:tabs>
        <w:ind w:left="567" w:hanging="283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551A2A"/>
    <w:multiLevelType w:val="multilevel"/>
    <w:tmpl w:val="04A47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7EC1190"/>
    <w:multiLevelType w:val="hybridMultilevel"/>
    <w:tmpl w:val="064AA20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F30DB"/>
    <w:multiLevelType w:val="multilevel"/>
    <w:tmpl w:val="4E8E215A"/>
    <w:lvl w:ilvl="0">
      <w:start w:val="2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1" w15:restartNumberingAfterBreak="0">
    <w:nsid w:val="75FC28B9"/>
    <w:multiLevelType w:val="hybridMultilevel"/>
    <w:tmpl w:val="040A361A"/>
    <w:lvl w:ilvl="0" w:tplc="4E3CD198">
      <w:start w:val="2"/>
      <w:numFmt w:val="upperRoman"/>
      <w:lvlText w:val="%1."/>
      <w:lvlJc w:val="left"/>
      <w:pPr>
        <w:tabs>
          <w:tab w:val="num" w:pos="1288"/>
        </w:tabs>
        <w:ind w:left="851" w:hanging="283"/>
      </w:pPr>
      <w:rPr>
        <w:rFonts w:hint="default"/>
        <w:b/>
        <w:i w:val="0"/>
      </w:rPr>
    </w:lvl>
    <w:lvl w:ilvl="1" w:tplc="DA7C831C">
      <w:start w:val="2"/>
      <w:numFmt w:val="decimal"/>
      <w:lvlText w:val="%2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79A3261B"/>
    <w:multiLevelType w:val="multilevel"/>
    <w:tmpl w:val="52BC6A3A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67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815"/>
        </w:tabs>
        <w:ind w:left="8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3"/>
        </w:tabs>
        <w:ind w:left="12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23"/>
        </w:tabs>
        <w:ind w:left="17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3"/>
        </w:tabs>
        <w:ind w:left="22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03"/>
        </w:tabs>
        <w:ind w:left="27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23"/>
        </w:tabs>
        <w:ind w:left="32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83"/>
        </w:tabs>
        <w:ind w:left="37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03"/>
        </w:tabs>
        <w:ind w:left="4343" w:hanging="1440"/>
      </w:pPr>
      <w:rPr>
        <w:rFonts w:hint="default"/>
      </w:rPr>
    </w:lvl>
  </w:abstractNum>
  <w:abstractNum w:abstractNumId="13" w15:restartNumberingAfterBreak="0">
    <w:nsid w:val="7B1B7D47"/>
    <w:multiLevelType w:val="multilevel"/>
    <w:tmpl w:val="ACF22AFA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3"/>
  </w:num>
  <w:num w:numId="5">
    <w:abstractNumId w:val="12"/>
  </w:num>
  <w:num w:numId="6">
    <w:abstractNumId w:val="11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 style="mso-position-horizontal-relative:margin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31"/>
    <w:rsid w:val="00002468"/>
    <w:rsid w:val="000060DB"/>
    <w:rsid w:val="0001749B"/>
    <w:rsid w:val="000224F3"/>
    <w:rsid w:val="0002766B"/>
    <w:rsid w:val="0003029C"/>
    <w:rsid w:val="000335F5"/>
    <w:rsid w:val="00035C52"/>
    <w:rsid w:val="00035F11"/>
    <w:rsid w:val="000439AD"/>
    <w:rsid w:val="00052A95"/>
    <w:rsid w:val="00052D30"/>
    <w:rsid w:val="00056316"/>
    <w:rsid w:val="0006437F"/>
    <w:rsid w:val="00076FA2"/>
    <w:rsid w:val="00081545"/>
    <w:rsid w:val="000910EC"/>
    <w:rsid w:val="000948F7"/>
    <w:rsid w:val="000964F9"/>
    <w:rsid w:val="000A335B"/>
    <w:rsid w:val="000A570E"/>
    <w:rsid w:val="000B2EA1"/>
    <w:rsid w:val="000B3279"/>
    <w:rsid w:val="000C2476"/>
    <w:rsid w:val="000C2DFA"/>
    <w:rsid w:val="000D27C3"/>
    <w:rsid w:val="000D44C6"/>
    <w:rsid w:val="000E34A3"/>
    <w:rsid w:val="000E3720"/>
    <w:rsid w:val="000E664E"/>
    <w:rsid w:val="000F24D6"/>
    <w:rsid w:val="000F50EC"/>
    <w:rsid w:val="000F7C85"/>
    <w:rsid w:val="00110553"/>
    <w:rsid w:val="00112210"/>
    <w:rsid w:val="00122A55"/>
    <w:rsid w:val="0012376B"/>
    <w:rsid w:val="0012510B"/>
    <w:rsid w:val="00126A64"/>
    <w:rsid w:val="00130696"/>
    <w:rsid w:val="00130D9C"/>
    <w:rsid w:val="00132BE3"/>
    <w:rsid w:val="00135A4D"/>
    <w:rsid w:val="00140E39"/>
    <w:rsid w:val="00146FFC"/>
    <w:rsid w:val="00147DE2"/>
    <w:rsid w:val="0015298A"/>
    <w:rsid w:val="00157BFA"/>
    <w:rsid w:val="00175214"/>
    <w:rsid w:val="00191CBC"/>
    <w:rsid w:val="00193F70"/>
    <w:rsid w:val="0019490E"/>
    <w:rsid w:val="0019573B"/>
    <w:rsid w:val="00196AE7"/>
    <w:rsid w:val="001A382F"/>
    <w:rsid w:val="001A78C2"/>
    <w:rsid w:val="001B140E"/>
    <w:rsid w:val="001B21F4"/>
    <w:rsid w:val="001C5254"/>
    <w:rsid w:val="001C5CC9"/>
    <w:rsid w:val="001C66FE"/>
    <w:rsid w:val="001C7365"/>
    <w:rsid w:val="001D2511"/>
    <w:rsid w:val="001D3036"/>
    <w:rsid w:val="001E1E20"/>
    <w:rsid w:val="001E5D7C"/>
    <w:rsid w:val="001F09B7"/>
    <w:rsid w:val="001F251B"/>
    <w:rsid w:val="001F6E9E"/>
    <w:rsid w:val="00204B1F"/>
    <w:rsid w:val="00206EA9"/>
    <w:rsid w:val="002079C0"/>
    <w:rsid w:val="00212264"/>
    <w:rsid w:val="002216CD"/>
    <w:rsid w:val="00232FBC"/>
    <w:rsid w:val="00250C72"/>
    <w:rsid w:val="002523F4"/>
    <w:rsid w:val="002524EC"/>
    <w:rsid w:val="00256D7F"/>
    <w:rsid w:val="0026288A"/>
    <w:rsid w:val="0027179A"/>
    <w:rsid w:val="002724BE"/>
    <w:rsid w:val="00275090"/>
    <w:rsid w:val="002776E9"/>
    <w:rsid w:val="00280E3C"/>
    <w:rsid w:val="00290B66"/>
    <w:rsid w:val="00297575"/>
    <w:rsid w:val="002A27B4"/>
    <w:rsid w:val="002B016C"/>
    <w:rsid w:val="002B7962"/>
    <w:rsid w:val="002C23A2"/>
    <w:rsid w:val="002C2FE8"/>
    <w:rsid w:val="002C35F6"/>
    <w:rsid w:val="002C4772"/>
    <w:rsid w:val="002C77CE"/>
    <w:rsid w:val="002D3666"/>
    <w:rsid w:val="002D4F30"/>
    <w:rsid w:val="002F5552"/>
    <w:rsid w:val="002F78D2"/>
    <w:rsid w:val="00300267"/>
    <w:rsid w:val="00305755"/>
    <w:rsid w:val="00306ACE"/>
    <w:rsid w:val="00307EDC"/>
    <w:rsid w:val="0031474E"/>
    <w:rsid w:val="00314E72"/>
    <w:rsid w:val="00316D37"/>
    <w:rsid w:val="0032045C"/>
    <w:rsid w:val="0032470E"/>
    <w:rsid w:val="00332F4B"/>
    <w:rsid w:val="00341E61"/>
    <w:rsid w:val="00343FA6"/>
    <w:rsid w:val="00355AF1"/>
    <w:rsid w:val="00356407"/>
    <w:rsid w:val="003571DD"/>
    <w:rsid w:val="003632BD"/>
    <w:rsid w:val="00364B59"/>
    <w:rsid w:val="00367448"/>
    <w:rsid w:val="0037041D"/>
    <w:rsid w:val="00371C7F"/>
    <w:rsid w:val="00373E33"/>
    <w:rsid w:val="00376376"/>
    <w:rsid w:val="00381D77"/>
    <w:rsid w:val="003838E7"/>
    <w:rsid w:val="00391746"/>
    <w:rsid w:val="003931A7"/>
    <w:rsid w:val="00395C98"/>
    <w:rsid w:val="0039735D"/>
    <w:rsid w:val="003A07EB"/>
    <w:rsid w:val="003A0EF5"/>
    <w:rsid w:val="003A15EE"/>
    <w:rsid w:val="003A76A5"/>
    <w:rsid w:val="003A7AC0"/>
    <w:rsid w:val="003C2995"/>
    <w:rsid w:val="003C31BE"/>
    <w:rsid w:val="003D1526"/>
    <w:rsid w:val="003E23F5"/>
    <w:rsid w:val="003E4386"/>
    <w:rsid w:val="003E7560"/>
    <w:rsid w:val="003F377D"/>
    <w:rsid w:val="003F7D2E"/>
    <w:rsid w:val="00401390"/>
    <w:rsid w:val="00405E0A"/>
    <w:rsid w:val="004072F7"/>
    <w:rsid w:val="00411E29"/>
    <w:rsid w:val="00413A13"/>
    <w:rsid w:val="00414023"/>
    <w:rsid w:val="0042436A"/>
    <w:rsid w:val="004313F3"/>
    <w:rsid w:val="0045464C"/>
    <w:rsid w:val="004557A8"/>
    <w:rsid w:val="00455E90"/>
    <w:rsid w:val="0046084B"/>
    <w:rsid w:val="00461C1B"/>
    <w:rsid w:val="00471AF7"/>
    <w:rsid w:val="00471FB5"/>
    <w:rsid w:val="004753C0"/>
    <w:rsid w:val="00484D8A"/>
    <w:rsid w:val="004A0FB5"/>
    <w:rsid w:val="004A192E"/>
    <w:rsid w:val="004C716D"/>
    <w:rsid w:val="004D1801"/>
    <w:rsid w:val="004D5EDC"/>
    <w:rsid w:val="004E6CA1"/>
    <w:rsid w:val="00500539"/>
    <w:rsid w:val="00500CE1"/>
    <w:rsid w:val="00501BEE"/>
    <w:rsid w:val="00503C70"/>
    <w:rsid w:val="00506156"/>
    <w:rsid w:val="005065C2"/>
    <w:rsid w:val="00507563"/>
    <w:rsid w:val="00511856"/>
    <w:rsid w:val="0051229C"/>
    <w:rsid w:val="00513200"/>
    <w:rsid w:val="00514073"/>
    <w:rsid w:val="00517C52"/>
    <w:rsid w:val="005310D5"/>
    <w:rsid w:val="005343A7"/>
    <w:rsid w:val="00547F45"/>
    <w:rsid w:val="005507B4"/>
    <w:rsid w:val="005558E8"/>
    <w:rsid w:val="00560EFF"/>
    <w:rsid w:val="00572A13"/>
    <w:rsid w:val="005767FF"/>
    <w:rsid w:val="00583B2D"/>
    <w:rsid w:val="00584FAE"/>
    <w:rsid w:val="00585434"/>
    <w:rsid w:val="005877C0"/>
    <w:rsid w:val="00591CDF"/>
    <w:rsid w:val="005A0967"/>
    <w:rsid w:val="005A1146"/>
    <w:rsid w:val="005B1B85"/>
    <w:rsid w:val="005B56D6"/>
    <w:rsid w:val="005D5AA8"/>
    <w:rsid w:val="005F37BF"/>
    <w:rsid w:val="005F7D22"/>
    <w:rsid w:val="006029E9"/>
    <w:rsid w:val="006039ED"/>
    <w:rsid w:val="00634B4B"/>
    <w:rsid w:val="006363B3"/>
    <w:rsid w:val="00636E0F"/>
    <w:rsid w:val="00644B0B"/>
    <w:rsid w:val="00645835"/>
    <w:rsid w:val="006511AE"/>
    <w:rsid w:val="0065397F"/>
    <w:rsid w:val="006562DB"/>
    <w:rsid w:val="0066239C"/>
    <w:rsid w:val="00676E7A"/>
    <w:rsid w:val="006810B2"/>
    <w:rsid w:val="00683554"/>
    <w:rsid w:val="00695F93"/>
    <w:rsid w:val="006A2ED0"/>
    <w:rsid w:val="006A3B7D"/>
    <w:rsid w:val="006B0AD9"/>
    <w:rsid w:val="006B77F2"/>
    <w:rsid w:val="006C2856"/>
    <w:rsid w:val="006C2B2E"/>
    <w:rsid w:val="006C44D8"/>
    <w:rsid w:val="006E08F4"/>
    <w:rsid w:val="006E0C8B"/>
    <w:rsid w:val="006E1E64"/>
    <w:rsid w:val="006E3E78"/>
    <w:rsid w:val="006E44CF"/>
    <w:rsid w:val="006F7D05"/>
    <w:rsid w:val="00715D76"/>
    <w:rsid w:val="00716028"/>
    <w:rsid w:val="0071778C"/>
    <w:rsid w:val="007250AE"/>
    <w:rsid w:val="007257B0"/>
    <w:rsid w:val="0072651B"/>
    <w:rsid w:val="00726FC3"/>
    <w:rsid w:val="0073082F"/>
    <w:rsid w:val="00732E16"/>
    <w:rsid w:val="00733C62"/>
    <w:rsid w:val="007420AD"/>
    <w:rsid w:val="00746DDF"/>
    <w:rsid w:val="00751A1B"/>
    <w:rsid w:val="007630E2"/>
    <w:rsid w:val="007760DE"/>
    <w:rsid w:val="007768C5"/>
    <w:rsid w:val="007851CB"/>
    <w:rsid w:val="007855F4"/>
    <w:rsid w:val="007970A2"/>
    <w:rsid w:val="007A33AF"/>
    <w:rsid w:val="007C2289"/>
    <w:rsid w:val="007E0B08"/>
    <w:rsid w:val="007F06C0"/>
    <w:rsid w:val="008371AD"/>
    <w:rsid w:val="0084640E"/>
    <w:rsid w:val="008502B0"/>
    <w:rsid w:val="0089098D"/>
    <w:rsid w:val="00890ED0"/>
    <w:rsid w:val="00890EDC"/>
    <w:rsid w:val="008927BE"/>
    <w:rsid w:val="008A05CD"/>
    <w:rsid w:val="008A0EC3"/>
    <w:rsid w:val="008A52CA"/>
    <w:rsid w:val="008B41AD"/>
    <w:rsid w:val="008C17C1"/>
    <w:rsid w:val="008C1B6F"/>
    <w:rsid w:val="008C5ECA"/>
    <w:rsid w:val="008D0D0E"/>
    <w:rsid w:val="008E122B"/>
    <w:rsid w:val="008E1D72"/>
    <w:rsid w:val="008E2DEA"/>
    <w:rsid w:val="008E4C1B"/>
    <w:rsid w:val="008E56BB"/>
    <w:rsid w:val="008E6E94"/>
    <w:rsid w:val="008F3D97"/>
    <w:rsid w:val="008F7BC8"/>
    <w:rsid w:val="009004B5"/>
    <w:rsid w:val="00901676"/>
    <w:rsid w:val="00910F4F"/>
    <w:rsid w:val="00914A61"/>
    <w:rsid w:val="00916DE9"/>
    <w:rsid w:val="00921C74"/>
    <w:rsid w:val="00926530"/>
    <w:rsid w:val="00927361"/>
    <w:rsid w:val="00927C88"/>
    <w:rsid w:val="009346C2"/>
    <w:rsid w:val="009346EC"/>
    <w:rsid w:val="00936B89"/>
    <w:rsid w:val="009446D8"/>
    <w:rsid w:val="0095050E"/>
    <w:rsid w:val="009552A2"/>
    <w:rsid w:val="0096063C"/>
    <w:rsid w:val="00964AB1"/>
    <w:rsid w:val="009702BB"/>
    <w:rsid w:val="00971641"/>
    <w:rsid w:val="009748E5"/>
    <w:rsid w:val="00981046"/>
    <w:rsid w:val="00981167"/>
    <w:rsid w:val="009934FB"/>
    <w:rsid w:val="009965F3"/>
    <w:rsid w:val="009A1E7B"/>
    <w:rsid w:val="009A4707"/>
    <w:rsid w:val="009A4FC8"/>
    <w:rsid w:val="009B2C1A"/>
    <w:rsid w:val="009B4D81"/>
    <w:rsid w:val="009C20ED"/>
    <w:rsid w:val="009C63DA"/>
    <w:rsid w:val="009D3F4A"/>
    <w:rsid w:val="009D4F01"/>
    <w:rsid w:val="009E02D0"/>
    <w:rsid w:val="009E064A"/>
    <w:rsid w:val="009E4C28"/>
    <w:rsid w:val="009E4C8C"/>
    <w:rsid w:val="009E5CCD"/>
    <w:rsid w:val="009F0584"/>
    <w:rsid w:val="009F148F"/>
    <w:rsid w:val="009F503F"/>
    <w:rsid w:val="00A01A5B"/>
    <w:rsid w:val="00A102F1"/>
    <w:rsid w:val="00A14212"/>
    <w:rsid w:val="00A17360"/>
    <w:rsid w:val="00A22B7C"/>
    <w:rsid w:val="00A2352D"/>
    <w:rsid w:val="00A3196D"/>
    <w:rsid w:val="00A3198B"/>
    <w:rsid w:val="00A33FD9"/>
    <w:rsid w:val="00A37460"/>
    <w:rsid w:val="00A376EE"/>
    <w:rsid w:val="00A41DCD"/>
    <w:rsid w:val="00A45765"/>
    <w:rsid w:val="00A478C4"/>
    <w:rsid w:val="00A52FDA"/>
    <w:rsid w:val="00A52FE8"/>
    <w:rsid w:val="00A56876"/>
    <w:rsid w:val="00A5708C"/>
    <w:rsid w:val="00A64B4C"/>
    <w:rsid w:val="00A662C0"/>
    <w:rsid w:val="00A81D33"/>
    <w:rsid w:val="00A8375B"/>
    <w:rsid w:val="00A916CF"/>
    <w:rsid w:val="00A936ED"/>
    <w:rsid w:val="00A94462"/>
    <w:rsid w:val="00AA1441"/>
    <w:rsid w:val="00AA33F1"/>
    <w:rsid w:val="00AB31FE"/>
    <w:rsid w:val="00AC108D"/>
    <w:rsid w:val="00AC3D69"/>
    <w:rsid w:val="00AD4102"/>
    <w:rsid w:val="00AD7CC7"/>
    <w:rsid w:val="00AE6507"/>
    <w:rsid w:val="00B13FD6"/>
    <w:rsid w:val="00B14AD2"/>
    <w:rsid w:val="00B153FF"/>
    <w:rsid w:val="00B22431"/>
    <w:rsid w:val="00B240DB"/>
    <w:rsid w:val="00B2590F"/>
    <w:rsid w:val="00B25EC4"/>
    <w:rsid w:val="00B263B9"/>
    <w:rsid w:val="00B31B1D"/>
    <w:rsid w:val="00B340A9"/>
    <w:rsid w:val="00B34942"/>
    <w:rsid w:val="00B34C4F"/>
    <w:rsid w:val="00B52736"/>
    <w:rsid w:val="00B6128A"/>
    <w:rsid w:val="00B71F2D"/>
    <w:rsid w:val="00B724F5"/>
    <w:rsid w:val="00B81823"/>
    <w:rsid w:val="00B827F0"/>
    <w:rsid w:val="00B8726B"/>
    <w:rsid w:val="00B97913"/>
    <w:rsid w:val="00BA2D5E"/>
    <w:rsid w:val="00BA4A39"/>
    <w:rsid w:val="00BC1565"/>
    <w:rsid w:val="00BC2E75"/>
    <w:rsid w:val="00BD3CDD"/>
    <w:rsid w:val="00BE0FBB"/>
    <w:rsid w:val="00BE2742"/>
    <w:rsid w:val="00BF12F5"/>
    <w:rsid w:val="00BF2359"/>
    <w:rsid w:val="00BF4AFC"/>
    <w:rsid w:val="00BF79AC"/>
    <w:rsid w:val="00C00162"/>
    <w:rsid w:val="00C0158D"/>
    <w:rsid w:val="00C0205C"/>
    <w:rsid w:val="00C0583E"/>
    <w:rsid w:val="00C05F87"/>
    <w:rsid w:val="00C212D2"/>
    <w:rsid w:val="00C233A9"/>
    <w:rsid w:val="00C3231E"/>
    <w:rsid w:val="00C36063"/>
    <w:rsid w:val="00C37BFE"/>
    <w:rsid w:val="00C500A5"/>
    <w:rsid w:val="00C52E07"/>
    <w:rsid w:val="00C535DF"/>
    <w:rsid w:val="00C56B4E"/>
    <w:rsid w:val="00C57C72"/>
    <w:rsid w:val="00C70A1A"/>
    <w:rsid w:val="00C8356E"/>
    <w:rsid w:val="00C83F14"/>
    <w:rsid w:val="00CA3F08"/>
    <w:rsid w:val="00CA6951"/>
    <w:rsid w:val="00CC10DF"/>
    <w:rsid w:val="00CC1FDC"/>
    <w:rsid w:val="00CC7098"/>
    <w:rsid w:val="00CC70D8"/>
    <w:rsid w:val="00CD6F57"/>
    <w:rsid w:val="00CE28FB"/>
    <w:rsid w:val="00CE5A7C"/>
    <w:rsid w:val="00CF37F7"/>
    <w:rsid w:val="00CF63AB"/>
    <w:rsid w:val="00D01C31"/>
    <w:rsid w:val="00D05990"/>
    <w:rsid w:val="00D107B0"/>
    <w:rsid w:val="00D14192"/>
    <w:rsid w:val="00D172D5"/>
    <w:rsid w:val="00D23ACB"/>
    <w:rsid w:val="00D24FD8"/>
    <w:rsid w:val="00D30F1E"/>
    <w:rsid w:val="00D34B2E"/>
    <w:rsid w:val="00D34E45"/>
    <w:rsid w:val="00D371A4"/>
    <w:rsid w:val="00D4365C"/>
    <w:rsid w:val="00D44119"/>
    <w:rsid w:val="00D60E5D"/>
    <w:rsid w:val="00D65C5C"/>
    <w:rsid w:val="00D72699"/>
    <w:rsid w:val="00D76B6A"/>
    <w:rsid w:val="00D8428C"/>
    <w:rsid w:val="00D85168"/>
    <w:rsid w:val="00D87EC8"/>
    <w:rsid w:val="00D91701"/>
    <w:rsid w:val="00DA40CF"/>
    <w:rsid w:val="00DB0418"/>
    <w:rsid w:val="00DB1C1C"/>
    <w:rsid w:val="00DB53EC"/>
    <w:rsid w:val="00DC05B8"/>
    <w:rsid w:val="00DC0D4A"/>
    <w:rsid w:val="00DC29EC"/>
    <w:rsid w:val="00DC4BCA"/>
    <w:rsid w:val="00DD1420"/>
    <w:rsid w:val="00DD1F3A"/>
    <w:rsid w:val="00DD2EAC"/>
    <w:rsid w:val="00DD5DB8"/>
    <w:rsid w:val="00DE3C82"/>
    <w:rsid w:val="00DE5979"/>
    <w:rsid w:val="00DE60EF"/>
    <w:rsid w:val="00DF7B9A"/>
    <w:rsid w:val="00E123A6"/>
    <w:rsid w:val="00E1550C"/>
    <w:rsid w:val="00E16DDE"/>
    <w:rsid w:val="00E267C0"/>
    <w:rsid w:val="00E3132F"/>
    <w:rsid w:val="00E326D4"/>
    <w:rsid w:val="00E3312E"/>
    <w:rsid w:val="00E34357"/>
    <w:rsid w:val="00E41128"/>
    <w:rsid w:val="00E413C2"/>
    <w:rsid w:val="00E433FE"/>
    <w:rsid w:val="00E4581E"/>
    <w:rsid w:val="00E50428"/>
    <w:rsid w:val="00E5163A"/>
    <w:rsid w:val="00E56C81"/>
    <w:rsid w:val="00E574C5"/>
    <w:rsid w:val="00E60AE6"/>
    <w:rsid w:val="00E642D6"/>
    <w:rsid w:val="00E8064E"/>
    <w:rsid w:val="00E80F20"/>
    <w:rsid w:val="00E82236"/>
    <w:rsid w:val="00E834C0"/>
    <w:rsid w:val="00E85A9A"/>
    <w:rsid w:val="00E85DB9"/>
    <w:rsid w:val="00E879C0"/>
    <w:rsid w:val="00E9286E"/>
    <w:rsid w:val="00EA1602"/>
    <w:rsid w:val="00EA3F3C"/>
    <w:rsid w:val="00EA46DF"/>
    <w:rsid w:val="00EB3B95"/>
    <w:rsid w:val="00EC0D2E"/>
    <w:rsid w:val="00EC5173"/>
    <w:rsid w:val="00EC5397"/>
    <w:rsid w:val="00ED402D"/>
    <w:rsid w:val="00ED5131"/>
    <w:rsid w:val="00EF3DA9"/>
    <w:rsid w:val="00F01672"/>
    <w:rsid w:val="00F02B82"/>
    <w:rsid w:val="00F04099"/>
    <w:rsid w:val="00F224F8"/>
    <w:rsid w:val="00F23236"/>
    <w:rsid w:val="00F36ABE"/>
    <w:rsid w:val="00F40719"/>
    <w:rsid w:val="00F40EF6"/>
    <w:rsid w:val="00F523AB"/>
    <w:rsid w:val="00F64CFC"/>
    <w:rsid w:val="00F75C93"/>
    <w:rsid w:val="00F76628"/>
    <w:rsid w:val="00F8401E"/>
    <w:rsid w:val="00F86117"/>
    <w:rsid w:val="00F90219"/>
    <w:rsid w:val="00FA6269"/>
    <w:rsid w:val="00FB0710"/>
    <w:rsid w:val="00FB4709"/>
    <w:rsid w:val="00FB513C"/>
    <w:rsid w:val="00FB77DA"/>
    <w:rsid w:val="00FC1500"/>
    <w:rsid w:val="00FC255A"/>
    <w:rsid w:val="00FC4190"/>
    <w:rsid w:val="00FC74BE"/>
    <w:rsid w:val="00FD3B88"/>
    <w:rsid w:val="00FE796D"/>
    <w:rsid w:val="00FF1671"/>
    <w:rsid w:val="00FF283D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style="mso-position-horizontal-relative:margin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FFE372C"/>
  <w15:docId w15:val="{D9C2D2CA-45F5-44B5-A542-3F65E0C9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1BEE"/>
    <w:rPr>
      <w:sz w:val="24"/>
      <w:szCs w:val="24"/>
    </w:rPr>
  </w:style>
  <w:style w:type="paragraph" w:styleId="Nadpis1">
    <w:name w:val="heading 1"/>
    <w:basedOn w:val="Normln"/>
    <w:next w:val="Normln"/>
    <w:qFormat/>
    <w:rsid w:val="00501BEE"/>
    <w:pPr>
      <w:keepNext/>
      <w:jc w:val="center"/>
      <w:outlineLvl w:val="0"/>
    </w:pPr>
    <w:rPr>
      <w:b/>
      <w:bCs/>
      <w:szCs w:val="28"/>
    </w:rPr>
  </w:style>
  <w:style w:type="paragraph" w:styleId="Nadpis2">
    <w:name w:val="heading 2"/>
    <w:basedOn w:val="Normln"/>
    <w:next w:val="Normln"/>
    <w:qFormat/>
    <w:rsid w:val="00501BEE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218" w:lineRule="auto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501BEE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312" w:lineRule="auto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501BEE"/>
    <w:pPr>
      <w:keepNext/>
      <w:ind w:firstLine="708"/>
      <w:jc w:val="both"/>
      <w:outlineLvl w:val="3"/>
    </w:pPr>
    <w:rPr>
      <w:b/>
      <w:bCs/>
      <w:sz w:val="32"/>
      <w:szCs w:val="32"/>
    </w:rPr>
  </w:style>
  <w:style w:type="paragraph" w:styleId="Nadpis5">
    <w:name w:val="heading 5"/>
    <w:basedOn w:val="Normln"/>
    <w:next w:val="Normln"/>
    <w:qFormat/>
    <w:rsid w:val="00501BEE"/>
    <w:pPr>
      <w:keepNext/>
      <w:jc w:val="both"/>
      <w:outlineLvl w:val="4"/>
    </w:pPr>
    <w:rPr>
      <w:rFonts w:ascii="Arial" w:hAnsi="Arial" w:cs="Arial"/>
      <w:b/>
      <w:bCs/>
      <w:i/>
      <w:iCs/>
      <w:sz w:val="28"/>
      <w:szCs w:val="26"/>
    </w:rPr>
  </w:style>
  <w:style w:type="paragraph" w:styleId="Nadpis6">
    <w:name w:val="heading 6"/>
    <w:basedOn w:val="Normln"/>
    <w:next w:val="Normln"/>
    <w:qFormat/>
    <w:rsid w:val="00501BEE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"/>
    <w:next w:val="Normln"/>
    <w:qFormat/>
    <w:rsid w:val="00501BEE"/>
    <w:pPr>
      <w:keepNext/>
      <w:tabs>
        <w:tab w:val="left" w:pos="0"/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jc w:val="both"/>
      <w:outlineLvl w:val="6"/>
    </w:pPr>
    <w:rPr>
      <w:rFonts w:ascii="Arial" w:hAnsi="Arial" w:cs="Arial"/>
      <w:b/>
      <w:bCs/>
      <w:sz w:val="32"/>
      <w:szCs w:val="33"/>
    </w:rPr>
  </w:style>
  <w:style w:type="paragraph" w:styleId="Nadpis8">
    <w:name w:val="heading 8"/>
    <w:basedOn w:val="Normln"/>
    <w:next w:val="Normln"/>
    <w:qFormat/>
    <w:rsid w:val="00501BEE"/>
    <w:pPr>
      <w:keepNext/>
      <w:pageBreakBefore/>
      <w:spacing w:after="360"/>
      <w:outlineLvl w:val="7"/>
    </w:pPr>
    <w:rPr>
      <w:rFonts w:ascii="Arial" w:hAnsi="Arial" w:cs="Arial"/>
      <w:b/>
      <w:bCs/>
      <w:sz w:val="32"/>
    </w:rPr>
  </w:style>
  <w:style w:type="paragraph" w:styleId="Nadpis9">
    <w:name w:val="heading 9"/>
    <w:basedOn w:val="Normln"/>
    <w:next w:val="Normln"/>
    <w:qFormat/>
    <w:rsid w:val="00501BEE"/>
    <w:pPr>
      <w:keepNext/>
      <w:tabs>
        <w:tab w:val="left" w:pos="-18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ind w:left="-180"/>
      <w:jc w:val="center"/>
      <w:outlineLvl w:val="8"/>
    </w:pPr>
    <w:rPr>
      <w:rFonts w:ascii="Arial" w:hAnsi="Arial" w:cs="Arial"/>
      <w:b/>
      <w:bCs/>
      <w:cap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501BEE"/>
    <w:pPr>
      <w:tabs>
        <w:tab w:val="left" w:pos="720"/>
        <w:tab w:val="left" w:pos="1440"/>
        <w:tab w:val="left" w:pos="2160"/>
        <w:tab w:val="right" w:pos="7936"/>
      </w:tabs>
      <w:suppressAutoHyphens/>
      <w:spacing w:line="209" w:lineRule="auto"/>
      <w:ind w:left="1440" w:right="1842" w:hanging="1440"/>
    </w:pPr>
    <w:rPr>
      <w:szCs w:val="26"/>
    </w:rPr>
  </w:style>
  <w:style w:type="paragraph" w:styleId="Zkladntext">
    <w:name w:val="Body Text"/>
    <w:basedOn w:val="Normln"/>
    <w:link w:val="ZkladntextChar"/>
    <w:rsid w:val="00501BEE"/>
    <w:pPr>
      <w:spacing w:line="283" w:lineRule="exact"/>
      <w:jc w:val="both"/>
    </w:pPr>
  </w:style>
  <w:style w:type="paragraph" w:styleId="Zkladntextodsazen">
    <w:name w:val="Body Text Indent"/>
    <w:basedOn w:val="Normln"/>
    <w:link w:val="ZkladntextodsazenChar"/>
    <w:rsid w:val="00501BEE"/>
    <w:pPr>
      <w:spacing w:line="232" w:lineRule="auto"/>
      <w:ind w:firstLine="708"/>
      <w:jc w:val="both"/>
    </w:pPr>
    <w:rPr>
      <w:szCs w:val="19"/>
    </w:rPr>
  </w:style>
  <w:style w:type="paragraph" w:styleId="Zkladntext2">
    <w:name w:val="Body Text 2"/>
    <w:basedOn w:val="Normln"/>
    <w:rsid w:val="00501BEE"/>
    <w:pPr>
      <w:spacing w:before="6"/>
      <w:jc w:val="center"/>
    </w:pPr>
    <w:rPr>
      <w:sz w:val="20"/>
    </w:rPr>
  </w:style>
  <w:style w:type="paragraph" w:styleId="Zhlav">
    <w:name w:val="header"/>
    <w:basedOn w:val="Normln"/>
    <w:rsid w:val="00501BE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01BEE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rsid w:val="00501BEE"/>
    <w:pPr>
      <w:tabs>
        <w:tab w:val="left" w:pos="540"/>
      </w:tabs>
      <w:spacing w:before="60" w:after="60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rsid w:val="00501BEE"/>
    <w:pPr>
      <w:ind w:firstLine="540"/>
      <w:jc w:val="both"/>
    </w:pPr>
    <w:rPr>
      <w:rFonts w:ascii="Arial" w:hAnsi="Arial" w:cs="Arial"/>
      <w:sz w:val="20"/>
    </w:rPr>
  </w:style>
  <w:style w:type="character" w:styleId="slostrnky">
    <w:name w:val="page number"/>
    <w:basedOn w:val="Standardnpsmoodstavce"/>
    <w:rsid w:val="00501BEE"/>
  </w:style>
  <w:style w:type="paragraph" w:styleId="Zkladntextodsazen3">
    <w:name w:val="Body Text Indent 3"/>
    <w:basedOn w:val="Normln"/>
    <w:rsid w:val="00501BEE"/>
    <w:pPr>
      <w:tabs>
        <w:tab w:val="left" w:pos="0"/>
        <w:tab w:val="left" w:pos="56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pacing w:before="60" w:after="60"/>
      <w:ind w:left="544" w:hanging="544"/>
      <w:jc w:val="both"/>
    </w:pPr>
    <w:rPr>
      <w:rFonts w:ascii="Arial" w:hAnsi="Arial" w:cs="Arial"/>
      <w:sz w:val="20"/>
      <w:szCs w:val="32"/>
    </w:rPr>
  </w:style>
  <w:style w:type="paragraph" w:styleId="Rozloendokumentu">
    <w:name w:val="Document Map"/>
    <w:basedOn w:val="Normln"/>
    <w:semiHidden/>
    <w:rsid w:val="00501BEE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501BEE"/>
    <w:rPr>
      <w:color w:val="0000FF"/>
      <w:u w:val="single"/>
    </w:rPr>
  </w:style>
  <w:style w:type="character" w:styleId="Sledovanodkaz">
    <w:name w:val="FollowedHyperlink"/>
    <w:rsid w:val="00501BEE"/>
    <w:rPr>
      <w:color w:val="800080"/>
      <w:u w:val="single"/>
    </w:rPr>
  </w:style>
  <w:style w:type="character" w:styleId="Odkaznakoment">
    <w:name w:val="annotation reference"/>
    <w:semiHidden/>
    <w:rsid w:val="00501BEE"/>
    <w:rPr>
      <w:sz w:val="16"/>
      <w:szCs w:val="16"/>
    </w:rPr>
  </w:style>
  <w:style w:type="paragraph" w:styleId="Textkomente">
    <w:name w:val="annotation text"/>
    <w:basedOn w:val="Normln"/>
    <w:semiHidden/>
    <w:rsid w:val="00501BEE"/>
    <w:rPr>
      <w:sz w:val="20"/>
      <w:szCs w:val="20"/>
    </w:rPr>
  </w:style>
  <w:style w:type="paragraph" w:customStyle="1" w:styleId="xl24">
    <w:name w:val="xl24"/>
    <w:basedOn w:val="Normln"/>
    <w:rsid w:val="00501BEE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5">
    <w:name w:val="xl25"/>
    <w:basedOn w:val="Normln"/>
    <w:rsid w:val="00501BEE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styleId="Titulek">
    <w:name w:val="caption"/>
    <w:basedOn w:val="Normln"/>
    <w:next w:val="Normln"/>
    <w:qFormat/>
    <w:rsid w:val="00501BEE"/>
    <w:pPr>
      <w:spacing w:before="120"/>
      <w:ind w:left="900"/>
    </w:pPr>
    <w:rPr>
      <w:rFonts w:ascii="Arial" w:hAnsi="Arial"/>
      <w:i/>
      <w:iCs/>
      <w:sz w:val="18"/>
      <w:szCs w:val="18"/>
    </w:rPr>
  </w:style>
  <w:style w:type="paragraph" w:customStyle="1" w:styleId="odstavecbn">
    <w:name w:val="odstavec běžný"/>
    <w:basedOn w:val="Normln"/>
    <w:rsid w:val="00501BEE"/>
    <w:pPr>
      <w:tabs>
        <w:tab w:val="left" w:pos="0"/>
        <w:tab w:val="left" w:pos="68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94"/>
        <w:tab w:val="left" w:pos="8496"/>
        <w:tab w:val="left" w:pos="8787"/>
        <w:tab w:val="left" w:pos="9204"/>
        <w:tab w:val="left" w:pos="9912"/>
        <w:tab w:val="left" w:pos="10620"/>
        <w:tab w:val="left" w:pos="11328"/>
        <w:tab w:val="left" w:pos="12036"/>
      </w:tabs>
      <w:spacing w:after="240"/>
      <w:jc w:val="both"/>
    </w:pPr>
    <w:rPr>
      <w:rFonts w:ascii="Arial" w:hAnsi="Arial"/>
      <w:sz w:val="20"/>
    </w:rPr>
  </w:style>
  <w:style w:type="paragraph" w:customStyle="1" w:styleId="xl27">
    <w:name w:val="xl27"/>
    <w:basedOn w:val="Normln"/>
    <w:rsid w:val="00501B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styleId="Textbubliny">
    <w:name w:val="Balloon Text"/>
    <w:basedOn w:val="Normln"/>
    <w:link w:val="TextbublinyChar"/>
    <w:rsid w:val="00EA46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46DF"/>
    <w:rPr>
      <w:rFonts w:ascii="Tahoma" w:hAnsi="Tahoma" w:cs="Tahoma"/>
      <w:sz w:val="16"/>
      <w:szCs w:val="16"/>
    </w:rPr>
  </w:style>
  <w:style w:type="character" w:customStyle="1" w:styleId="content">
    <w:name w:val="content"/>
    <w:basedOn w:val="Standardnpsmoodstavce"/>
    <w:rsid w:val="004A192E"/>
  </w:style>
  <w:style w:type="character" w:customStyle="1" w:styleId="ZkladntextChar">
    <w:name w:val="Základní text Char"/>
    <w:link w:val="Zkladntext"/>
    <w:rsid w:val="00FB77DA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F224F8"/>
    <w:rPr>
      <w:sz w:val="24"/>
      <w:szCs w:val="19"/>
    </w:rPr>
  </w:style>
  <w:style w:type="paragraph" w:customStyle="1" w:styleId="ISCEDOdstavec-sslem">
    <w:name w:val="ISCED Odstavec - s číslem"/>
    <w:rsid w:val="00746DDF"/>
    <w:pPr>
      <w:tabs>
        <w:tab w:val="left" w:pos="567"/>
      </w:tabs>
      <w:spacing w:after="240"/>
      <w:ind w:left="567" w:hanging="567"/>
      <w:jc w:val="both"/>
    </w:pPr>
    <w:rPr>
      <w:rFonts w:ascii="Arial" w:hAnsi="Arial" w:cs="Arial"/>
      <w:snapToGrid w:val="0"/>
      <w:color w:val="000000"/>
      <w:lang w:eastAsia="en-GB"/>
    </w:rPr>
  </w:style>
  <w:style w:type="character" w:customStyle="1" w:styleId="Zkladntext3Char">
    <w:name w:val="Základní text 3 Char"/>
    <w:link w:val="Zkladntext3"/>
    <w:rsid w:val="0046084B"/>
    <w:rPr>
      <w:rFonts w:ascii="Arial" w:hAnsi="Arial" w:cs="Arial"/>
      <w:szCs w:val="24"/>
    </w:rPr>
  </w:style>
  <w:style w:type="paragraph" w:styleId="Textpoznpodarou">
    <w:name w:val="footnote text"/>
    <w:basedOn w:val="Normln"/>
    <w:link w:val="TextpoznpodarouChar"/>
    <w:semiHidden/>
    <w:rsid w:val="00D85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85168"/>
  </w:style>
  <w:style w:type="character" w:styleId="Znakapoznpodarou">
    <w:name w:val="footnote reference"/>
    <w:semiHidden/>
    <w:rsid w:val="00D851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E77F1-EBED-429B-8C06-98492CB8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665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PRÁCE, SOCIÁLNÍ STATISTIKY</vt:lpstr>
    </vt:vector>
  </TitlesOfParts>
  <Company>CSU</Company>
  <LinksUpToDate>false</LinksUpToDate>
  <CharactersWithSpaces>4581</CharactersWithSpaces>
  <SharedDoc>false</SharedDoc>
  <HLinks>
    <vt:vector size="12" baseType="variant">
      <vt:variant>
        <vt:i4>7274534</vt:i4>
      </vt:variant>
      <vt:variant>
        <vt:i4>9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PRÁCE, SOCIÁLNÍ STATISTIKY</dc:title>
  <dc:creator>havlik</dc:creator>
  <cp:lastModifiedBy>Petráňová Marta</cp:lastModifiedBy>
  <cp:revision>4</cp:revision>
  <cp:lastPrinted>2025-06-08T08:18:00Z</cp:lastPrinted>
  <dcterms:created xsi:type="dcterms:W3CDTF">2025-06-09T06:25:00Z</dcterms:created>
  <dcterms:modified xsi:type="dcterms:W3CDTF">2025-06-11T06:04:00Z</dcterms:modified>
</cp:coreProperties>
</file>